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9D" w:rsidRPr="0051634C" w:rsidRDefault="0051634C" w:rsidP="00303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4C">
        <w:rPr>
          <w:rFonts w:ascii="Times New Roman" w:hAnsi="Times New Roman" w:cs="Times New Roman"/>
          <w:sz w:val="24"/>
          <w:szCs w:val="24"/>
        </w:rPr>
        <w:t>Table: Block-wise electrical conductivity (</w:t>
      </w:r>
      <w:proofErr w:type="spellStart"/>
      <w:r w:rsidRPr="0051634C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Pr="0051634C">
        <w:rPr>
          <w:rFonts w:ascii="Times New Roman" w:hAnsi="Times New Roman" w:cs="Times New Roman"/>
          <w:sz w:val="24"/>
          <w:szCs w:val="24"/>
        </w:rPr>
        <w:t>/m)</w:t>
      </w:r>
      <w:r w:rsidR="00303838">
        <w:rPr>
          <w:rFonts w:ascii="Times New Roman" w:hAnsi="Times New Roman" w:cs="Times New Roman"/>
          <w:sz w:val="24"/>
          <w:szCs w:val="24"/>
        </w:rPr>
        <w:t xml:space="preserve"> distribution</w:t>
      </w:r>
      <w:r w:rsidRPr="0051634C">
        <w:rPr>
          <w:rFonts w:ascii="Times New Roman" w:hAnsi="Times New Roman" w:cs="Times New Roman"/>
          <w:sz w:val="24"/>
          <w:szCs w:val="24"/>
        </w:rPr>
        <w:t xml:space="preserve"> in groundwater </w:t>
      </w:r>
      <w:r w:rsidR="00303838">
        <w:rPr>
          <w:rFonts w:ascii="Times New Roman" w:hAnsi="Times New Roman" w:cs="Times New Roman"/>
          <w:sz w:val="24"/>
          <w:szCs w:val="24"/>
        </w:rPr>
        <w:t>of</w:t>
      </w:r>
      <w:r w:rsidRPr="00516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34C">
        <w:rPr>
          <w:rFonts w:ascii="Times New Roman" w:hAnsi="Times New Roman" w:cs="Times New Roman"/>
          <w:sz w:val="24"/>
          <w:szCs w:val="24"/>
        </w:rPr>
        <w:t>Panipat</w:t>
      </w:r>
      <w:proofErr w:type="spellEnd"/>
      <w:r w:rsidRPr="0051634C">
        <w:rPr>
          <w:rFonts w:ascii="Times New Roman" w:hAnsi="Times New Roman" w:cs="Times New Roman"/>
          <w:sz w:val="24"/>
          <w:szCs w:val="24"/>
        </w:rPr>
        <w:t xml:space="preserve"> district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72"/>
        <w:gridCol w:w="1478"/>
        <w:gridCol w:w="1831"/>
        <w:gridCol w:w="1831"/>
        <w:gridCol w:w="1844"/>
      </w:tblGrid>
      <w:tr w:rsidR="006B317F" w:rsidRPr="00A37226" w:rsidTr="00AD3820">
        <w:trPr>
          <w:trHeight w:val="65"/>
        </w:trPr>
        <w:tc>
          <w:tcPr>
            <w:tcW w:w="11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of </w:t>
            </w:r>
          </w:p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30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water with </w:t>
            </w:r>
            <w:proofErr w:type="spellStart"/>
            <w:r w:rsidR="006B317F"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 w:rsidR="006B317F" w:rsidRPr="00A372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iw</w:t>
            </w:r>
            <w:proofErr w:type="spellEnd"/>
            <w:r w:rsidR="006B317F"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B317F"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proofErr w:type="spellEnd"/>
            <w:r w:rsidR="006B317F"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/m)</w:t>
            </w:r>
          </w:p>
        </w:tc>
      </w:tr>
      <w:tr w:rsidR="006B317F" w:rsidRPr="00A37226" w:rsidTr="00AD3820">
        <w:trPr>
          <w:trHeight w:val="65"/>
        </w:trPr>
        <w:tc>
          <w:tcPr>
            <w:tcW w:w="11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17F" w:rsidRPr="00A37226" w:rsidRDefault="006B317F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30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2</w:t>
            </w:r>
            <w:r w:rsidR="003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30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30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4</w:t>
            </w:r>
            <w:r w:rsidR="003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317F" w:rsidRPr="00A37226" w:rsidTr="00AD3820">
        <w:trPr>
          <w:trHeight w:val="127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Panipat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17F" w:rsidRPr="00A37226" w:rsidTr="00AD3820">
        <w:trPr>
          <w:trHeight w:val="78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Ishrana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6B317F" w:rsidRPr="00A37226" w:rsidTr="00AD3820">
        <w:trPr>
          <w:trHeight w:val="78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Matlauda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66.9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6B317F" w:rsidRPr="00A37226" w:rsidTr="00AD3820">
        <w:trPr>
          <w:trHeight w:val="78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Samlakha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93.0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17F" w:rsidRPr="00A37226" w:rsidTr="00AD3820">
        <w:trPr>
          <w:trHeight w:val="194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Bapoli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317F" w:rsidRPr="00A37226" w:rsidRDefault="006B317F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317F" w:rsidRDefault="006B317F"/>
    <w:p w:rsidR="00303838" w:rsidRDefault="00303838" w:rsidP="00303838">
      <w:pPr>
        <w:jc w:val="center"/>
      </w:pPr>
      <w:r>
        <w:rPr>
          <w:noProof/>
          <w:lang w:eastAsia="en-IN"/>
        </w:rPr>
        <w:drawing>
          <wp:inline distT="0" distB="0" distL="0" distR="0" wp14:anchorId="73F7319A" wp14:editId="6D36E245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317F" w:rsidRDefault="006B317F" w:rsidP="00303838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313518" cy="3333173"/>
            <wp:effectExtent l="0" t="0" r="0" b="635"/>
            <wp:docPr id="4" name="Picture 4" descr="C:\Users\HP\Desktop\EC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EC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203" cy="333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9D" w:rsidRDefault="00A50A9D" w:rsidP="00A50A9D">
      <w:pPr>
        <w:jc w:val="center"/>
      </w:pPr>
    </w:p>
    <w:p w:rsidR="00303838" w:rsidRPr="0051634C" w:rsidRDefault="00303838" w:rsidP="00303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4C">
        <w:rPr>
          <w:rFonts w:ascii="Times New Roman" w:hAnsi="Times New Roman" w:cs="Times New Roman"/>
          <w:sz w:val="24"/>
          <w:szCs w:val="24"/>
        </w:rPr>
        <w:lastRenderedPageBreak/>
        <w:t xml:space="preserve">Table: Block-wise </w:t>
      </w:r>
      <w:r w:rsidR="00C21021">
        <w:rPr>
          <w:rFonts w:ascii="Times New Roman" w:hAnsi="Times New Roman" w:cs="Times New Roman"/>
          <w:sz w:val="24"/>
          <w:szCs w:val="24"/>
        </w:rPr>
        <w:t xml:space="preserve">sodium adsorption ratio </w:t>
      </w:r>
      <w:r w:rsidR="00C2760D">
        <w:rPr>
          <w:rFonts w:ascii="Times New Roman" w:hAnsi="Times New Roman" w:cs="Times New Roman"/>
          <w:sz w:val="24"/>
          <w:szCs w:val="24"/>
        </w:rPr>
        <w:t xml:space="preserve">(SAR) </w:t>
      </w:r>
      <w:r>
        <w:rPr>
          <w:rFonts w:ascii="Times New Roman" w:hAnsi="Times New Roman" w:cs="Times New Roman"/>
          <w:sz w:val="24"/>
          <w:szCs w:val="24"/>
        </w:rPr>
        <w:t>distribution</w:t>
      </w:r>
      <w:r w:rsidRPr="0051634C">
        <w:rPr>
          <w:rFonts w:ascii="Times New Roman" w:hAnsi="Times New Roman" w:cs="Times New Roman"/>
          <w:sz w:val="24"/>
          <w:szCs w:val="24"/>
        </w:rPr>
        <w:t xml:space="preserve"> in groundwater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16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34C">
        <w:rPr>
          <w:rFonts w:ascii="Times New Roman" w:hAnsi="Times New Roman" w:cs="Times New Roman"/>
          <w:sz w:val="24"/>
          <w:szCs w:val="24"/>
        </w:rPr>
        <w:t>Panipat</w:t>
      </w:r>
      <w:proofErr w:type="spellEnd"/>
      <w:r w:rsidRPr="0051634C">
        <w:rPr>
          <w:rFonts w:ascii="Times New Roman" w:hAnsi="Times New Roman" w:cs="Times New Roman"/>
          <w:sz w:val="24"/>
          <w:szCs w:val="24"/>
        </w:rPr>
        <w:t xml:space="preserve"> district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72"/>
        <w:gridCol w:w="1478"/>
        <w:gridCol w:w="1831"/>
        <w:gridCol w:w="1831"/>
        <w:gridCol w:w="1844"/>
      </w:tblGrid>
      <w:tr w:rsidR="00303838" w:rsidRPr="00A37226" w:rsidTr="00AD3820">
        <w:trPr>
          <w:trHeight w:val="65"/>
        </w:trPr>
        <w:tc>
          <w:tcPr>
            <w:tcW w:w="11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of </w:t>
            </w:r>
          </w:p>
          <w:p w:rsidR="00303838" w:rsidRPr="00A37226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30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C2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water with </w:t>
            </w:r>
            <w:r w:rsidR="00C27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</w:t>
            </w:r>
          </w:p>
        </w:tc>
      </w:tr>
      <w:tr w:rsidR="00303838" w:rsidRPr="00A37226" w:rsidTr="00AD3820">
        <w:trPr>
          <w:trHeight w:val="65"/>
        </w:trPr>
        <w:tc>
          <w:tcPr>
            <w:tcW w:w="11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838" w:rsidRPr="00A37226" w:rsidRDefault="00303838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838" w:rsidRPr="00A37226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10</w:t>
            </w:r>
            <w:r w:rsidR="003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10-20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C2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27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3838" w:rsidRPr="00A37226" w:rsidTr="00AD3820">
        <w:trPr>
          <w:trHeight w:val="127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Panipat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838" w:rsidRPr="00A37226" w:rsidTr="00AD3820">
        <w:trPr>
          <w:trHeight w:val="78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Ishrana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83.8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303838" w:rsidRPr="00A37226" w:rsidTr="00AD3820">
        <w:trPr>
          <w:trHeight w:val="78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Matlauda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838" w:rsidRPr="00A37226" w:rsidTr="00AD3820">
        <w:trPr>
          <w:trHeight w:val="78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Samlakha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760D" w:rsidRPr="00A37226" w:rsidRDefault="00C2760D" w:rsidP="00C2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838" w:rsidRPr="00A37226" w:rsidTr="00AD3820">
        <w:trPr>
          <w:trHeight w:val="194"/>
        </w:trPr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Bapoli</w:t>
            </w:r>
            <w:proofErr w:type="spell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3838" w:rsidRPr="00A37226" w:rsidRDefault="00303838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3838" w:rsidRPr="00A37226" w:rsidRDefault="00C2760D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3838" w:rsidRDefault="00303838" w:rsidP="00A50A9D">
      <w:pPr>
        <w:jc w:val="center"/>
      </w:pPr>
    </w:p>
    <w:p w:rsidR="002B6815" w:rsidRDefault="002B6815" w:rsidP="002B6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2290232B" wp14:editId="0EA1FE31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6815" w:rsidRDefault="002B6815" w:rsidP="002B6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7A161E8" wp14:editId="053605C2">
            <wp:extent cx="4226714" cy="3266098"/>
            <wp:effectExtent l="0" t="0" r="2540" b="0"/>
            <wp:docPr id="7" name="Picture 7" descr="C:\Users\HP\Desktop\RKVY_Neeraj Map\SAR\SA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RKVY_Neeraj Map\SAR\SAR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36" cy="327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15" w:rsidRDefault="002B6815" w:rsidP="002B6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815" w:rsidRPr="0051634C" w:rsidRDefault="002B6815" w:rsidP="002B6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4C">
        <w:rPr>
          <w:rFonts w:ascii="Times New Roman" w:hAnsi="Times New Roman" w:cs="Times New Roman"/>
          <w:sz w:val="24"/>
          <w:szCs w:val="24"/>
        </w:rPr>
        <w:lastRenderedPageBreak/>
        <w:t xml:space="preserve">Table: Block-wise </w:t>
      </w:r>
      <w:r w:rsidR="00C21021">
        <w:rPr>
          <w:rFonts w:ascii="Times New Roman" w:hAnsi="Times New Roman" w:cs="Times New Roman"/>
          <w:sz w:val="24"/>
          <w:szCs w:val="24"/>
        </w:rPr>
        <w:t xml:space="preserve">residual sodium </w:t>
      </w:r>
      <w:proofErr w:type="gramStart"/>
      <w:r w:rsidR="00C21021">
        <w:rPr>
          <w:rFonts w:ascii="Times New Roman" w:hAnsi="Times New Roman" w:cs="Times New Roman"/>
          <w:sz w:val="24"/>
          <w:szCs w:val="24"/>
        </w:rPr>
        <w:t>carbonate</w:t>
      </w:r>
      <w:proofErr w:type="gramEnd"/>
      <w:r w:rsidR="00C21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21021">
        <w:rPr>
          <w:rFonts w:ascii="Times New Roman" w:hAnsi="Times New Roman" w:cs="Times New Roman"/>
          <w:sz w:val="24"/>
          <w:szCs w:val="24"/>
        </w:rPr>
        <w:t>RSC)</w:t>
      </w:r>
      <w:r>
        <w:rPr>
          <w:rFonts w:ascii="Times New Roman" w:hAnsi="Times New Roman" w:cs="Times New Roman"/>
          <w:sz w:val="24"/>
          <w:szCs w:val="24"/>
        </w:rPr>
        <w:t xml:space="preserve"> distribution</w:t>
      </w:r>
      <w:r w:rsidRPr="0051634C">
        <w:rPr>
          <w:rFonts w:ascii="Times New Roman" w:hAnsi="Times New Roman" w:cs="Times New Roman"/>
          <w:sz w:val="24"/>
          <w:szCs w:val="24"/>
        </w:rPr>
        <w:t xml:space="preserve"> in groundwater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16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34C">
        <w:rPr>
          <w:rFonts w:ascii="Times New Roman" w:hAnsi="Times New Roman" w:cs="Times New Roman"/>
          <w:sz w:val="24"/>
          <w:szCs w:val="24"/>
        </w:rPr>
        <w:t>Panipat</w:t>
      </w:r>
      <w:proofErr w:type="spellEnd"/>
      <w:r w:rsidRPr="0051634C">
        <w:rPr>
          <w:rFonts w:ascii="Times New Roman" w:hAnsi="Times New Roman" w:cs="Times New Roman"/>
          <w:sz w:val="24"/>
          <w:szCs w:val="24"/>
        </w:rPr>
        <w:t xml:space="preserve"> district</w:t>
      </w:r>
    </w:p>
    <w:tbl>
      <w:tblPr>
        <w:tblW w:w="4997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5"/>
        <w:gridCol w:w="1090"/>
        <w:gridCol w:w="1184"/>
        <w:gridCol w:w="1184"/>
        <w:gridCol w:w="1184"/>
        <w:gridCol w:w="1184"/>
        <w:gridCol w:w="1180"/>
      </w:tblGrid>
      <w:tr w:rsidR="002B6815" w:rsidRPr="00A37226" w:rsidTr="00AD3820">
        <w:trPr>
          <w:trHeight w:val="65"/>
        </w:trPr>
        <w:tc>
          <w:tcPr>
            <w:tcW w:w="11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</w:p>
        </w:tc>
        <w:tc>
          <w:tcPr>
            <w:tcW w:w="6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of </w:t>
            </w:r>
          </w:p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326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Default="002B6815" w:rsidP="00C21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water with </w:t>
            </w:r>
            <w:r w:rsidR="00C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 (me/l)</w:t>
            </w:r>
          </w:p>
        </w:tc>
      </w:tr>
      <w:tr w:rsidR="002B6815" w:rsidRPr="00A37226" w:rsidTr="00AD3820">
        <w:trPr>
          <w:trHeight w:val="65"/>
        </w:trPr>
        <w:tc>
          <w:tcPr>
            <w:tcW w:w="1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15" w:rsidRPr="00A37226" w:rsidRDefault="002B6815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1.25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1.25-2.5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2.5-5 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10</w:t>
            </w:r>
          </w:p>
        </w:tc>
      </w:tr>
      <w:tr w:rsidR="002B6815" w:rsidRPr="00A37226" w:rsidTr="00AD3820">
        <w:trPr>
          <w:trHeight w:val="127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Panipat</w:t>
            </w:r>
            <w:proofErr w:type="spellEnd"/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2B6815" w:rsidRPr="00A37226" w:rsidTr="00AD3820">
        <w:trPr>
          <w:trHeight w:val="78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Ishrana</w:t>
            </w:r>
            <w:proofErr w:type="spellEnd"/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2B6815" w:rsidRPr="00A37226" w:rsidTr="00AD3820">
        <w:trPr>
          <w:trHeight w:val="78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Matlauda</w:t>
            </w:r>
            <w:proofErr w:type="spellEnd"/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815" w:rsidRPr="00A37226" w:rsidTr="00AD3820">
        <w:trPr>
          <w:trHeight w:val="78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Samlakha</w:t>
            </w:r>
            <w:proofErr w:type="spellEnd"/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815" w:rsidRPr="00A37226" w:rsidTr="00AD3820">
        <w:trPr>
          <w:trHeight w:val="194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Bapoli</w:t>
            </w:r>
            <w:proofErr w:type="spellEnd"/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6815" w:rsidRPr="00A37226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815" w:rsidRDefault="002B6815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6815" w:rsidRDefault="002B6815" w:rsidP="002B6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021" w:rsidRDefault="00C21021" w:rsidP="00C210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4DB084B5" wp14:editId="07E000A1">
            <wp:extent cx="3831981" cy="2426676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1021" w:rsidRDefault="00C21021" w:rsidP="00C210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021" w:rsidRDefault="00C21021" w:rsidP="00C210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4518960" cy="3491923"/>
            <wp:effectExtent l="0" t="0" r="0" b="0"/>
            <wp:docPr id="9" name="Picture 9" descr="C:\Users\HP\Desktop\RKVY_Neeraj Map\RSC\RSC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RKVY_Neeraj Map\RSC\RSC_F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930" cy="348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21" w:rsidRDefault="00C21021" w:rsidP="00BA7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74B" w:rsidRPr="0051634C" w:rsidRDefault="00BA774B" w:rsidP="00BA7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4C">
        <w:rPr>
          <w:rFonts w:ascii="Times New Roman" w:hAnsi="Times New Roman" w:cs="Times New Roman"/>
          <w:sz w:val="24"/>
          <w:szCs w:val="24"/>
        </w:rPr>
        <w:lastRenderedPageBreak/>
        <w:t xml:space="preserve">Table: Block-wise </w:t>
      </w:r>
      <w:r>
        <w:rPr>
          <w:rFonts w:ascii="Times New Roman" w:hAnsi="Times New Roman" w:cs="Times New Roman"/>
          <w:sz w:val="24"/>
          <w:szCs w:val="24"/>
        </w:rPr>
        <w:t>water quality</w:t>
      </w:r>
      <w:r>
        <w:rPr>
          <w:rFonts w:ascii="Times New Roman" w:hAnsi="Times New Roman" w:cs="Times New Roman"/>
          <w:sz w:val="24"/>
          <w:szCs w:val="24"/>
        </w:rPr>
        <w:t xml:space="preserve"> distribution</w:t>
      </w:r>
      <w:r w:rsidRPr="0051634C">
        <w:rPr>
          <w:rFonts w:ascii="Times New Roman" w:hAnsi="Times New Roman" w:cs="Times New Roman"/>
          <w:sz w:val="24"/>
          <w:szCs w:val="24"/>
        </w:rPr>
        <w:t xml:space="preserve"> in groundwater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16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34C">
        <w:rPr>
          <w:rFonts w:ascii="Times New Roman" w:hAnsi="Times New Roman" w:cs="Times New Roman"/>
          <w:sz w:val="24"/>
          <w:szCs w:val="24"/>
        </w:rPr>
        <w:t>Panipat</w:t>
      </w:r>
      <w:proofErr w:type="spellEnd"/>
      <w:r w:rsidRPr="0051634C">
        <w:rPr>
          <w:rFonts w:ascii="Times New Roman" w:hAnsi="Times New Roman" w:cs="Times New Roman"/>
          <w:sz w:val="24"/>
          <w:szCs w:val="24"/>
        </w:rPr>
        <w:t xml:space="preserve"> district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5"/>
        <w:gridCol w:w="850"/>
        <w:gridCol w:w="968"/>
        <w:gridCol w:w="1158"/>
        <w:gridCol w:w="775"/>
        <w:gridCol w:w="967"/>
        <w:gridCol w:w="1092"/>
        <w:gridCol w:w="842"/>
        <w:gridCol w:w="969"/>
      </w:tblGrid>
      <w:tr w:rsidR="00BA774B" w:rsidRPr="00A37226" w:rsidTr="00BA774B">
        <w:trPr>
          <w:trHeight w:val="65"/>
        </w:trPr>
        <w:tc>
          <w:tcPr>
            <w:tcW w:w="7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</w:p>
        </w:tc>
        <w:tc>
          <w:tcPr>
            <w:tcW w:w="4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of </w:t>
            </w:r>
          </w:p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373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Default="00BA774B" w:rsidP="00BA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water </w:t>
            </w:r>
          </w:p>
        </w:tc>
      </w:tr>
      <w:tr w:rsidR="00BA774B" w:rsidRPr="00A37226" w:rsidTr="00BA774B">
        <w:trPr>
          <w:trHeight w:val="65"/>
        </w:trPr>
        <w:tc>
          <w:tcPr>
            <w:tcW w:w="7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4B" w:rsidRPr="00A37226" w:rsidRDefault="00BA774B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water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Marginally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Alkali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Alkali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SAR Alkali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Pr="00A37226" w:rsidRDefault="00BA774B" w:rsidP="00BA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Marginally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Saline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Saline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Pr="00A37226" w:rsidRDefault="00BA774B" w:rsidP="00BA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SAR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Saline</w:t>
            </w:r>
          </w:p>
        </w:tc>
      </w:tr>
      <w:tr w:rsidR="00BA774B" w:rsidRPr="00A37226" w:rsidTr="00BA774B">
        <w:trPr>
          <w:trHeight w:val="127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Panipat</w:t>
            </w:r>
            <w:proofErr w:type="spellEnd"/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55.9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</w:tr>
      <w:tr w:rsidR="00BA774B" w:rsidRPr="00A37226" w:rsidTr="00BA774B">
        <w:trPr>
          <w:trHeight w:val="78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Ishrana</w:t>
            </w:r>
            <w:proofErr w:type="spellEnd"/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BA774B" w:rsidRPr="00A37226" w:rsidTr="00BA774B">
        <w:trPr>
          <w:trHeight w:val="78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Matlauda</w:t>
            </w:r>
            <w:proofErr w:type="spellEnd"/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A774B" w:rsidRPr="00A37226" w:rsidTr="00BA774B">
        <w:trPr>
          <w:trHeight w:val="78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Samlakha</w:t>
            </w:r>
            <w:proofErr w:type="spellEnd"/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BA774B" w:rsidRPr="00A37226" w:rsidTr="00BA774B">
        <w:trPr>
          <w:trHeight w:val="194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Bapoli</w:t>
            </w:r>
            <w:proofErr w:type="spellEnd"/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61.7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774B" w:rsidRPr="00A37226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74B" w:rsidRDefault="00BA774B" w:rsidP="00AD3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</w:tbl>
    <w:p w:rsidR="00BA774B" w:rsidRDefault="00BA774B" w:rsidP="00A50A9D">
      <w:pPr>
        <w:jc w:val="center"/>
      </w:pPr>
    </w:p>
    <w:p w:rsidR="00BA774B" w:rsidRDefault="00010A3B" w:rsidP="00A50A9D">
      <w:pPr>
        <w:jc w:val="center"/>
      </w:pPr>
      <w:r>
        <w:rPr>
          <w:noProof/>
          <w:lang w:eastAsia="en-IN"/>
        </w:rPr>
        <w:drawing>
          <wp:inline distT="0" distB="0" distL="0" distR="0" wp14:anchorId="2D6CD31B" wp14:editId="5F016AAF">
            <wp:extent cx="3860651" cy="2426676"/>
            <wp:effectExtent l="0" t="0" r="698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5DAD" w:rsidRDefault="00010A3B" w:rsidP="00010A3B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409768" cy="3407548"/>
            <wp:effectExtent l="0" t="0" r="0" b="2540"/>
            <wp:docPr id="11" name="Picture 11" descr="C:\Users\HP\Desktop\RKVY_Neeraj Map\Water Quality\Panipat_WQ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RKVY_Neeraj Map\Water Quality\Panipat_WQ_F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425" cy="342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DAD" w:rsidSect="00A5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4C"/>
    <w:rsid w:val="00010A3B"/>
    <w:rsid w:val="000A5DAD"/>
    <w:rsid w:val="001A3C5A"/>
    <w:rsid w:val="002B6815"/>
    <w:rsid w:val="00303838"/>
    <w:rsid w:val="00506C4C"/>
    <w:rsid w:val="0051634C"/>
    <w:rsid w:val="006B317F"/>
    <w:rsid w:val="00A37226"/>
    <w:rsid w:val="00A50A9D"/>
    <w:rsid w:val="00BA774B"/>
    <w:rsid w:val="00C21021"/>
    <w:rsid w:val="00C2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9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9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2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9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9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2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RKVY_Neeraj%20Map\Final%20Area_calculati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RKVY_Neeraj%20Map\Final%20Area_calculati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RKVY_Neeraj%20Map\Final%20Area_calculati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RKVY_Neeraj%20Map\Final%20Area_calcula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97222222222221"/>
          <c:y val="5.3912219305920092E-2"/>
          <c:w val="0.83747222222222217"/>
          <c:h val="0.75756926217556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Area (%)</c:v>
                </c:pt>
              </c:strCache>
            </c:strRef>
          </c:tx>
          <c:spPr>
            <a:solidFill>
              <a:srgbClr val="336600">
                <a:alpha val="77000"/>
              </a:srgbClr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>
                  <a:alpha val="8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9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Sheet1!$B$3:$B$5</c:f>
              <c:strCache>
                <c:ptCount val="3"/>
                <c:pt idx="0">
                  <c:v>&lt;2</c:v>
                </c:pt>
                <c:pt idx="1">
                  <c:v> 2-4</c:v>
                </c:pt>
                <c:pt idx="2">
                  <c:v>&gt;4</c:v>
                </c:pt>
              </c:strCache>
            </c:strRef>
          </c:cat>
          <c:val>
            <c:numRef>
              <c:f>Sheet1!$C$3:$C$5</c:f>
              <c:numCache>
                <c:formatCode>0.0</c:formatCode>
                <c:ptCount val="3"/>
                <c:pt idx="0">
                  <c:v>75.621093123898049</c:v>
                </c:pt>
                <c:pt idx="1">
                  <c:v>22.519634556820005</c:v>
                </c:pt>
                <c:pt idx="2">
                  <c:v>1.8592723192819363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796800"/>
        <c:axId val="241556096"/>
      </c:barChart>
      <c:catAx>
        <c:axId val="156796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Electrical conductivity (dS/m)</a:t>
                </a:r>
              </a:p>
            </c:rich>
          </c:tx>
          <c:layout>
            <c:manualLayout>
              <c:xMode val="edge"/>
              <c:yMode val="edge"/>
              <c:x val="0.33777777777777779"/>
              <c:y val="0.91296296296296298"/>
            </c:manualLayout>
          </c:layout>
          <c:overlay val="0"/>
        </c:title>
        <c:majorTickMark val="out"/>
        <c:minorTickMark val="none"/>
        <c:tickLblPos val="nextTo"/>
        <c:crossAx val="241556096"/>
        <c:crosses val="autoZero"/>
        <c:auto val="1"/>
        <c:lblAlgn val="ctr"/>
        <c:lblOffset val="100"/>
        <c:noMultiLvlLbl val="0"/>
      </c:catAx>
      <c:valAx>
        <c:axId val="241556096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Area (%)</a:t>
                </a:r>
              </a:p>
            </c:rich>
          </c:tx>
          <c:layout>
            <c:manualLayout>
              <c:xMode val="edge"/>
              <c:yMode val="edge"/>
              <c:x val="5.5555555555555558E-3"/>
              <c:y val="0.29128463108778069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56796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97222222222221"/>
          <c:y val="5.3912219305920092E-2"/>
          <c:w val="0.83747222222222217"/>
          <c:h val="0.75756926217556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Sheet1!$C$18</c:f>
              <c:strCache>
                <c:ptCount val="1"/>
                <c:pt idx="0">
                  <c:v>Area (%)</c:v>
                </c:pt>
              </c:strCache>
            </c:strRef>
          </c:tx>
          <c:spPr>
            <a:solidFill>
              <a:srgbClr val="336600">
                <a:alpha val="77000"/>
              </a:srgbClr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>
                  <a:alpha val="80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99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Sheet1!$B$19:$B$21</c:f>
              <c:strCache>
                <c:ptCount val="3"/>
                <c:pt idx="0">
                  <c:v>&lt;10</c:v>
                </c:pt>
                <c:pt idx="1">
                  <c:v> 10-20</c:v>
                </c:pt>
                <c:pt idx="2">
                  <c:v>&gt;20</c:v>
                </c:pt>
              </c:strCache>
            </c:strRef>
          </c:cat>
          <c:val>
            <c:numRef>
              <c:f>Sheet1!$C$19:$C$21</c:f>
              <c:numCache>
                <c:formatCode>0.0</c:formatCode>
                <c:ptCount val="3"/>
                <c:pt idx="0">
                  <c:v>93.845167494790843</c:v>
                </c:pt>
                <c:pt idx="1">
                  <c:v>5.9144093604744361</c:v>
                </c:pt>
                <c:pt idx="2">
                  <c:v>0.24042314473473311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892224"/>
        <c:axId val="121894400"/>
      </c:barChart>
      <c:catAx>
        <c:axId val="121892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Sodium Adsorption Ratio</a:t>
                </a:r>
              </a:p>
            </c:rich>
          </c:tx>
          <c:layout>
            <c:manualLayout>
              <c:xMode val="edge"/>
              <c:yMode val="edge"/>
              <c:x val="0.33777777777777779"/>
              <c:y val="0.91296296296296298"/>
            </c:manualLayout>
          </c:layout>
          <c:overlay val="0"/>
        </c:title>
        <c:majorTickMark val="out"/>
        <c:minorTickMark val="none"/>
        <c:tickLblPos val="nextTo"/>
        <c:crossAx val="121894400"/>
        <c:crosses val="autoZero"/>
        <c:auto val="1"/>
        <c:lblAlgn val="ctr"/>
        <c:lblOffset val="100"/>
        <c:noMultiLvlLbl val="0"/>
      </c:catAx>
      <c:valAx>
        <c:axId val="121894400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Area (%)</a:t>
                </a:r>
              </a:p>
            </c:rich>
          </c:tx>
          <c:layout>
            <c:manualLayout>
              <c:xMode val="edge"/>
              <c:yMode val="edge"/>
              <c:x val="5.5555555555555558E-3"/>
              <c:y val="0.29128463108778069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21892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Residual Sodium carbonate (me/l)</a:t>
            </a:r>
          </a:p>
        </c:rich>
      </c:tx>
      <c:layout>
        <c:manualLayout>
          <c:xMode val="edge"/>
          <c:yMode val="edge"/>
          <c:x val="0.16630849683231727"/>
          <c:y val="0.8949278766510239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264212165978902"/>
          <c:y val="9.7253609464139426E-2"/>
          <c:w val="0.50661394197935739"/>
          <c:h val="0.79999760989930258"/>
        </c:manualLayout>
      </c:layout>
      <c:pieChart>
        <c:varyColors val="1"/>
        <c:ser>
          <c:idx val="0"/>
          <c:order val="0"/>
          <c:tx>
            <c:strRef>
              <c:f>Sheet1!$C$36</c:f>
              <c:strCache>
                <c:ptCount val="1"/>
                <c:pt idx="0">
                  <c:v>Area (%)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006600"/>
              </a:solidFill>
            </a:ln>
          </c:spPr>
          <c:dPt>
            <c:idx val="0"/>
            <c:bubble3D val="0"/>
            <c:spPr>
              <a:solidFill>
                <a:srgbClr val="336600"/>
              </a:solidFill>
              <a:ln>
                <a:solidFill>
                  <a:srgbClr val="006600"/>
                </a:solidFill>
              </a:ln>
            </c:spPr>
          </c:dPt>
          <c:dPt>
            <c:idx val="1"/>
            <c:bubble3D val="0"/>
            <c:spPr>
              <a:solidFill>
                <a:srgbClr val="336600">
                  <a:alpha val="79000"/>
                </a:srgbClr>
              </a:solidFill>
              <a:ln>
                <a:solidFill>
                  <a:srgbClr val="006600"/>
                </a:solidFill>
              </a:ln>
            </c:spPr>
          </c:dPt>
          <c:dPt>
            <c:idx val="3"/>
            <c:bubble3D val="0"/>
            <c:spPr>
              <a:solidFill>
                <a:srgbClr val="990000"/>
              </a:solidFill>
              <a:ln>
                <a:solidFill>
                  <a:srgbClr val="006600"/>
                </a:solidFill>
              </a:ln>
            </c:spPr>
          </c:dPt>
          <c:dPt>
            <c:idx val="4"/>
            <c:bubble3D val="0"/>
            <c:spPr>
              <a:solidFill>
                <a:srgbClr val="00FFFF"/>
              </a:solidFill>
              <a:ln>
                <a:solidFill>
                  <a:srgbClr val="006600"/>
                </a:solidFill>
              </a:ln>
            </c:spPr>
          </c:dPt>
          <c:dLbls>
            <c:dLbl>
              <c:idx val="4"/>
              <c:spPr/>
              <c:txPr>
                <a:bodyPr/>
                <a:lstStyle/>
                <a:p>
                  <a:pPr>
                    <a:defRPr>
                      <a:solidFill>
                        <a:schemeClr val="tx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Sheet1!$B$37:$B$41</c:f>
              <c:strCache>
                <c:ptCount val="5"/>
                <c:pt idx="0">
                  <c:v>&lt;1.25</c:v>
                </c:pt>
                <c:pt idx="1">
                  <c:v>1.25-2.5</c:v>
                </c:pt>
                <c:pt idx="2">
                  <c:v>2.5-5</c:v>
                </c:pt>
                <c:pt idx="3">
                  <c:v> 5-10</c:v>
                </c:pt>
                <c:pt idx="4">
                  <c:v>&gt;10</c:v>
                </c:pt>
              </c:strCache>
            </c:strRef>
          </c:cat>
          <c:val>
            <c:numRef>
              <c:f>Sheet1!$C$37:$C$41</c:f>
              <c:numCache>
                <c:formatCode>0.0</c:formatCode>
                <c:ptCount val="5"/>
                <c:pt idx="0">
                  <c:v>21.065399729671046</c:v>
                </c:pt>
                <c:pt idx="1">
                  <c:v>35.154172834837283</c:v>
                </c:pt>
                <c:pt idx="2">
                  <c:v>34.881220655659263</c:v>
                </c:pt>
                <c:pt idx="3">
                  <c:v>8.7789991769711051</c:v>
                </c:pt>
                <c:pt idx="4">
                  <c:v>0.12020760286131016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472179272287623"/>
          <c:y val="0.23248880361449159"/>
          <c:w val="0.19207871855314523"/>
          <c:h val="0.5012927148082397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Water Quality</a:t>
            </a:r>
          </a:p>
        </c:rich>
      </c:tx>
      <c:layout>
        <c:manualLayout>
          <c:xMode val="edge"/>
          <c:yMode val="edge"/>
          <c:x val="0.2292785376545447"/>
          <c:y val="0.8949278766510239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333046536504225"/>
          <c:y val="8.6786616754770729E-2"/>
          <c:w val="0.50661394197935739"/>
          <c:h val="0.79999760989930258"/>
        </c:manualLayout>
      </c:layout>
      <c:pieChart>
        <c:varyColors val="1"/>
        <c:ser>
          <c:idx val="0"/>
          <c:order val="0"/>
          <c:tx>
            <c:strRef>
              <c:f>Sheet1!$B$57</c:f>
              <c:strCache>
                <c:ptCount val="1"/>
                <c:pt idx="0">
                  <c:v>Area (%)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006600"/>
              </a:solidFill>
            </a:ln>
          </c:spPr>
          <c:dPt>
            <c:idx val="0"/>
            <c:bubble3D val="0"/>
            <c:spPr>
              <a:solidFill>
                <a:srgbClr val="0066FF">
                  <a:alpha val="74000"/>
                </a:srgbClr>
              </a:solidFill>
              <a:ln>
                <a:solidFill>
                  <a:srgbClr val="006600"/>
                </a:solidFill>
              </a:ln>
            </c:spPr>
          </c:dPt>
          <c:dPt>
            <c:idx val="1"/>
            <c:bubble3D val="0"/>
            <c:spPr>
              <a:solidFill>
                <a:srgbClr val="336600">
                  <a:alpha val="65000"/>
                </a:srgbClr>
              </a:solidFill>
              <a:ln>
                <a:solidFill>
                  <a:srgbClr val="006600"/>
                </a:solidFill>
              </a:ln>
            </c:spPr>
          </c:dPt>
          <c:dPt>
            <c:idx val="2"/>
            <c:bubble3D val="0"/>
            <c:spPr>
              <a:solidFill>
                <a:srgbClr val="003366">
                  <a:alpha val="94000"/>
                </a:srgbClr>
              </a:solidFill>
              <a:ln>
                <a:solidFill>
                  <a:srgbClr val="006600"/>
                </a:solidFill>
              </a:ln>
            </c:spPr>
          </c:dPt>
          <c:dPt>
            <c:idx val="3"/>
            <c:bubble3D val="0"/>
            <c:spPr>
              <a:solidFill>
                <a:srgbClr val="990000"/>
              </a:solidFill>
              <a:ln>
                <a:solidFill>
                  <a:srgbClr val="006600"/>
                </a:solidFill>
              </a:ln>
            </c:spPr>
          </c:dPt>
          <c:dPt>
            <c:idx val="4"/>
            <c:bubble3D val="0"/>
            <c:spPr>
              <a:solidFill>
                <a:srgbClr val="33CCFF">
                  <a:alpha val="76000"/>
                </a:srgbClr>
              </a:solidFill>
              <a:ln>
                <a:solidFill>
                  <a:srgbClr val="006600"/>
                </a:solidFill>
              </a:ln>
            </c:spPr>
          </c:dPt>
          <c:dPt>
            <c:idx val="5"/>
            <c:bubble3D val="0"/>
            <c:spPr>
              <a:solidFill>
                <a:srgbClr val="FF9999"/>
              </a:solidFill>
              <a:ln>
                <a:solidFill>
                  <a:srgbClr val="006600"/>
                </a:solidFill>
              </a:ln>
            </c:spPr>
          </c:dPt>
          <c:dLbls>
            <c:dLbl>
              <c:idx val="3"/>
              <c:layout>
                <c:manualLayout>
                  <c:x val="8.664911694944713E-2"/>
                  <c:y val="-5.3826716051092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81101555152226E-2"/>
                  <c:y val="9.1586186206976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Sheet1!$A$58:$A$64</c:f>
              <c:strCache>
                <c:ptCount val="7"/>
                <c:pt idx="0">
                  <c:v>Alkali </c:v>
                </c:pt>
                <c:pt idx="1">
                  <c:v>Goodwater</c:v>
                </c:pt>
                <c:pt idx="2">
                  <c:v>High SAR Alkali</c:v>
                </c:pt>
                <c:pt idx="3">
                  <c:v>High SAR Saline</c:v>
                </c:pt>
                <c:pt idx="4">
                  <c:v>Marginaliy Alkali</c:v>
                </c:pt>
                <c:pt idx="5">
                  <c:v>Marginally Saline</c:v>
                </c:pt>
                <c:pt idx="6">
                  <c:v>Saline</c:v>
                </c:pt>
              </c:strCache>
            </c:strRef>
          </c:cat>
          <c:val>
            <c:numRef>
              <c:f>Sheet1!$B$58:$B$64</c:f>
              <c:numCache>
                <c:formatCode>0.0</c:formatCode>
                <c:ptCount val="7"/>
                <c:pt idx="0">
                  <c:v>10.586503568755131</c:v>
                </c:pt>
                <c:pt idx="1">
                  <c:v>46.121659999029205</c:v>
                </c:pt>
                <c:pt idx="2">
                  <c:v>9.8961395593802344</c:v>
                </c:pt>
                <c:pt idx="3">
                  <c:v>4.4732790790740902</c:v>
                </c:pt>
                <c:pt idx="4">
                  <c:v>15.504607813330489</c:v>
                </c:pt>
                <c:pt idx="5">
                  <c:v>10.547059449081964</c:v>
                </c:pt>
                <c:pt idx="6">
                  <c:v>2.8707505313488832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895379700473464"/>
          <c:y val="0.19585432913170117"/>
          <c:w val="0.34784671427128683"/>
          <c:h val="0.59026215283787375"/>
        </c:manualLayout>
      </c:layout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2018-08-13T11:48:00Z</dcterms:created>
  <dcterms:modified xsi:type="dcterms:W3CDTF">2018-08-13T13:32:00Z</dcterms:modified>
</cp:coreProperties>
</file>