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18" w:rsidRDefault="00201718" w:rsidP="00201718">
      <w:pPr>
        <w:spacing w:after="0" w:line="240" w:lineRule="auto"/>
        <w:ind w:left="567" w:hanging="567"/>
        <w:rPr>
          <w:rFonts w:ascii="Times New Roman" w:hAnsi="Times New Roman"/>
          <w:b/>
          <w:bCs/>
        </w:rPr>
      </w:pPr>
      <w:r w:rsidRPr="00201718">
        <w:rPr>
          <w:rFonts w:ascii="Times New Roman" w:hAnsi="Times New Roman"/>
          <w:b/>
          <w:bCs/>
          <w:sz w:val="24"/>
          <w:szCs w:val="24"/>
        </w:rPr>
        <w:t xml:space="preserve">Title: </w:t>
      </w:r>
      <w:r w:rsidRPr="00201718">
        <w:rPr>
          <w:rFonts w:ascii="Times New Roman" w:hAnsi="Times New Roman"/>
          <w:b/>
          <w:bCs/>
        </w:rPr>
        <w:t xml:space="preserve">Improving farm productivity through sustainable use of alkali waters at farmer’s </w:t>
      </w:r>
      <w:r>
        <w:rPr>
          <w:rFonts w:ascii="Times New Roman" w:hAnsi="Times New Roman"/>
          <w:b/>
          <w:bCs/>
        </w:rPr>
        <w:t xml:space="preserve">  </w:t>
      </w:r>
      <w:r w:rsidRPr="00201718">
        <w:rPr>
          <w:rFonts w:ascii="Times New Roman" w:hAnsi="Times New Roman"/>
          <w:b/>
          <w:bCs/>
        </w:rPr>
        <w:t>field in rice-wheat production system</w:t>
      </w:r>
    </w:p>
    <w:p w:rsidR="00201718" w:rsidRDefault="00201718" w:rsidP="00201718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</w:p>
    <w:p w:rsidR="00201718" w:rsidRDefault="00201718" w:rsidP="00201718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Description: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Analysed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data</w:t>
      </w:r>
    </w:p>
    <w:p w:rsidR="00201718" w:rsidRDefault="00201718" w:rsidP="00201718">
      <w:pPr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</w:p>
    <w:p w:rsidR="00201718" w:rsidRDefault="00201718" w:rsidP="00201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Treatment details: </w:t>
      </w:r>
      <w:r w:rsidRPr="00DD64C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The field experiment was started in </w:t>
      </w:r>
      <w:proofErr w:type="spellStart"/>
      <w:r w:rsidRPr="00DD64C0">
        <w:rPr>
          <w:rFonts w:ascii="Times New Roman" w:eastAsia="+mn-e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>Kharif</w:t>
      </w:r>
      <w:proofErr w:type="spellEnd"/>
      <w:r w:rsidRPr="00DD64C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2014</w:t>
      </w:r>
      <w:r w:rsidRPr="00DD6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D64C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total of eight treatments were laid out </w:t>
      </w:r>
      <w:r w:rsidRPr="00DD64C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in split-plot design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three replications. </w:t>
      </w:r>
      <w:r w:rsidRPr="00DD64C0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T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wo varieties [one salt tolerant (CSR 30 Basmati and KRL 210) and another traditional (</w:t>
      </w:r>
      <w:proofErr w:type="spellStart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Pusa</w:t>
      </w:r>
      <w:proofErr w:type="spellEnd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1121 and HD 2967) as rice and wheat cultivars in respective seasons] were taken in the main plot treatments while </w:t>
      </w:r>
      <w:r w:rsidRPr="00DD6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RSC neutralizing ameliorants [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available RSC water/</w:t>
      </w:r>
      <w:proofErr w:type="spellStart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unamended</w:t>
      </w:r>
      <w:proofErr w:type="spellEnd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control; gypsum at 7.5 t ha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(Gyp); </w:t>
      </w:r>
      <w:proofErr w:type="spellStart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pressmud</w:t>
      </w:r>
      <w:proofErr w:type="spellEnd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at 10 t ha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(PM) and gypsum at 3.75 t ha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pressmud</w:t>
      </w:r>
      <w:proofErr w:type="spellEnd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5 t ha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Gyp+PM</w:t>
      </w:r>
      <w:proofErr w:type="spellEnd"/>
      <w:r w:rsidRPr="00DD64C0">
        <w:rPr>
          <w:rFonts w:ascii="Times New Roman" w:hAnsi="Times New Roman" w:cs="Times New Roman"/>
          <w:color w:val="000000" w:themeColor="text1"/>
          <w:sz w:val="24"/>
          <w:szCs w:val="24"/>
        </w:rPr>
        <w:t>)] were super imposed as sub-plot treatments at both the experimental sites.</w:t>
      </w:r>
    </w:p>
    <w:p w:rsidR="00201718" w:rsidRDefault="00201718" w:rsidP="00201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718" w:rsidRPr="00201718" w:rsidRDefault="00201718" w:rsidP="00201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7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Experimental location: </w:t>
      </w:r>
      <w:r w:rsidRPr="00201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Farmer’s Field, village </w:t>
      </w:r>
      <w:proofErr w:type="spellStart"/>
      <w:r w:rsidRPr="00201718">
        <w:rPr>
          <w:rFonts w:ascii="Times New Roman" w:hAnsi="Times New Roman" w:cs="Times New Roman"/>
          <w:color w:val="000000" w:themeColor="text1"/>
          <w:sz w:val="24"/>
          <w:szCs w:val="24"/>
        </w:rPr>
        <w:t>Munfdri</w:t>
      </w:r>
      <w:proofErr w:type="spellEnd"/>
      <w:r w:rsidRPr="00201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1718">
        <w:rPr>
          <w:rFonts w:ascii="Times New Roman" w:hAnsi="Times New Roman" w:cs="Times New Roman"/>
          <w:color w:val="000000" w:themeColor="text1"/>
          <w:sz w:val="24"/>
          <w:szCs w:val="24"/>
        </w:rPr>
        <w:t>Kaithal</w:t>
      </w:r>
      <w:proofErr w:type="spellEnd"/>
      <w:r w:rsidRPr="00201718">
        <w:rPr>
          <w:rFonts w:ascii="Times New Roman" w:hAnsi="Times New Roman" w:cs="Times New Roman"/>
          <w:color w:val="000000" w:themeColor="text1"/>
          <w:sz w:val="24"/>
          <w:szCs w:val="24"/>
        </w:rPr>
        <w:t>, Haryana</w:t>
      </w:r>
    </w:p>
    <w:p w:rsidR="00201718" w:rsidRPr="00201718" w:rsidRDefault="00201718" w:rsidP="002017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Duration: </w:t>
      </w:r>
      <w:r w:rsidRPr="00201718">
        <w:rPr>
          <w:rFonts w:ascii="Times New Roman" w:hAnsi="Times New Roman" w:cs="Times New Roman"/>
          <w:color w:val="000000" w:themeColor="text1"/>
          <w:sz w:val="24"/>
          <w:szCs w:val="24"/>
        </w:rPr>
        <w:t>2014-2018</w:t>
      </w:r>
    </w:p>
    <w:p w:rsidR="00201718" w:rsidRDefault="00201718" w:rsidP="00201718">
      <w:p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:rsidR="00201718" w:rsidRDefault="00201718" w:rsidP="0020171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 1.</w:t>
      </w:r>
      <w:r>
        <w:rPr>
          <w:rFonts w:ascii="Times New Roman" w:hAnsi="Times New Roman"/>
          <w:sz w:val="24"/>
          <w:szCs w:val="24"/>
        </w:rPr>
        <w:t xml:space="preserve"> Initial soil analysis and composition of irrigation waters at the experimental site(s)</w:t>
      </w:r>
    </w:p>
    <w:p w:rsidR="00201718" w:rsidRDefault="00201718" w:rsidP="0020171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4"/>
        <w:gridCol w:w="644"/>
        <w:gridCol w:w="1136"/>
        <w:gridCol w:w="1502"/>
      </w:tblGrid>
      <w:tr w:rsidR="00201718" w:rsidTr="00201718">
        <w:tc>
          <w:tcPr>
            <w:tcW w:w="3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2</w:t>
            </w:r>
          </w:p>
        </w:tc>
      </w:tr>
      <w:tr w:rsidR="00201718" w:rsidTr="00201718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properties</w:t>
            </w:r>
          </w:p>
        </w:tc>
      </w:tr>
      <w:tr w:rsidR="00201718" w:rsidTr="00201718">
        <w:trPr>
          <w:trHeight w:val="80"/>
        </w:trPr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pH (1:2)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9.69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conductivity, EC (1:2)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Electrical conductivity of saturation extract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Bulk density (Mg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carbon (g kg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exchange capacity (CEC)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Exchangeable sodium percentage (ESP) (%)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adsorption ration of saturation extract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(mmol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 N (kg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 P (kg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</w:tr>
      <w:tr w:rsidR="00201718" w:rsidTr="00201718"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 K (kg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365.2</w:t>
            </w:r>
          </w:p>
        </w:tc>
      </w:tr>
      <w:tr w:rsidR="00201718" w:rsidTr="00201718">
        <w:trPr>
          <w:trHeight w:val="419"/>
        </w:trPr>
        <w:tc>
          <w:tcPr>
            <w:tcW w:w="36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DTPA extractable Zn,  mg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201718" w:rsidTr="0020171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quality parameters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conductivity  EC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 salts (me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Mg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HCO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Residual sodium carbonate, RSC (me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</w:tr>
      <w:tr w:rsidR="00201718" w:rsidTr="00201718"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adsorption ration (SAR) mmol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</w:tbl>
    <w:p w:rsidR="00201718" w:rsidRDefault="00201718" w:rsidP="002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RSC = (</w:t>
      </w:r>
      <w:r>
        <w:rPr>
          <w:rFonts w:ascii="Times New Roman" w:hAnsi="Times New Roman" w:cs="Times New Roman"/>
          <w:color w:val="000000" w:themeColor="text1"/>
          <w:sz w:val="20"/>
        </w:rPr>
        <w:t>CO</w:t>
      </w:r>
      <w:r>
        <w:rPr>
          <w:rFonts w:ascii="Times New Roman" w:hAnsi="Times New Roman" w:cs="Times New Roman"/>
          <w:color w:val="000000" w:themeColor="text1"/>
          <w:sz w:val="2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2- </w:t>
      </w:r>
      <w:r>
        <w:rPr>
          <w:rFonts w:ascii="Times New Roman" w:hAnsi="Times New Roman" w:cs="Times New Roman"/>
          <w:color w:val="000000" w:themeColor="text1"/>
          <w:sz w:val="20"/>
        </w:rPr>
        <w:t>+ HCO</w:t>
      </w:r>
      <w:r>
        <w:rPr>
          <w:rFonts w:ascii="Times New Roman" w:hAnsi="Times New Roman" w:cs="Times New Roman"/>
          <w:color w:val="000000" w:themeColor="text1"/>
          <w:sz w:val="2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0"/>
          <w:vertAlign w:val="superscript"/>
        </w:rPr>
        <w:t>-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) - </w:t>
      </w: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color w:val="000000" w:themeColor="text1"/>
          <w:sz w:val="20"/>
        </w:rPr>
        <w:t>Ca</w:t>
      </w:r>
      <w:r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2+ </w:t>
      </w:r>
      <w:r>
        <w:rPr>
          <w:rFonts w:ascii="Times New Roman" w:hAnsi="Times New Roman" w:cs="Times New Roman"/>
          <w:color w:val="000000" w:themeColor="text1"/>
          <w:sz w:val="20"/>
        </w:rPr>
        <w:t>+ Mg</w:t>
      </w:r>
      <w:r>
        <w:rPr>
          <w:rFonts w:ascii="Times New Roman" w:hAnsi="Times New Roman" w:cs="Times New Roman"/>
          <w:color w:val="000000" w:themeColor="text1"/>
          <w:sz w:val="20"/>
          <w:vertAlign w:val="superscript"/>
        </w:rPr>
        <w:t>2+</w:t>
      </w:r>
      <w:r>
        <w:rPr>
          <w:rFonts w:ascii="Times New Roman" w:hAnsi="Times New Roman" w:cs="Times New Roman"/>
          <w:color w:val="000000" w:themeColor="text1"/>
          <w:sz w:val="20"/>
        </w:rPr>
        <w:t>)</w:t>
      </w:r>
      <w:r>
        <w:rPr>
          <w:rFonts w:ascii="Times New Roman" w:hAnsi="Times New Roman" w:cs="Times New Roman"/>
          <w:sz w:val="20"/>
        </w:rPr>
        <w:t>;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SAR = ([Na</w:t>
      </w:r>
      <w:r>
        <w:rPr>
          <w:rFonts w:ascii="Times New Roman" w:hAnsi="Times New Roman" w:cs="Times New Roman"/>
          <w:sz w:val="20"/>
          <w:vertAlign w:val="superscript"/>
        </w:rPr>
        <w:t>+</w:t>
      </w:r>
      <w:r>
        <w:rPr>
          <w:rFonts w:ascii="Times New Roman" w:hAnsi="Times New Roman" w:cs="Times New Roman"/>
          <w:sz w:val="20"/>
        </w:rPr>
        <w:t>])/√(0.5([Ca</w:t>
      </w:r>
      <w:r>
        <w:rPr>
          <w:rFonts w:ascii="Times New Roman" w:hAnsi="Times New Roman" w:cs="Times New Roman"/>
          <w:sz w:val="20"/>
          <w:vertAlign w:val="superscript"/>
        </w:rPr>
        <w:t>2+</w:t>
      </w:r>
      <w:r>
        <w:rPr>
          <w:rFonts w:ascii="Times New Roman" w:hAnsi="Times New Roman" w:cs="Times New Roman"/>
          <w:sz w:val="20"/>
        </w:rPr>
        <w:t>] +[Mg</w:t>
      </w:r>
      <w:r>
        <w:rPr>
          <w:rFonts w:ascii="Times New Roman" w:hAnsi="Times New Roman" w:cs="Times New Roman"/>
          <w:sz w:val="20"/>
          <w:vertAlign w:val="superscript"/>
        </w:rPr>
        <w:t>2+</w:t>
      </w:r>
      <w:r>
        <w:rPr>
          <w:rFonts w:ascii="Times New Roman" w:hAnsi="Times New Roman" w:cs="Times New Roman"/>
          <w:sz w:val="20"/>
        </w:rPr>
        <w:t>]))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all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cations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 xml:space="preserve"> and anions in </w:t>
      </w:r>
      <w:r>
        <w:rPr>
          <w:rFonts w:ascii="Times New Roman" w:hAnsi="Times New Roman" w:cs="Times New Roman"/>
          <w:sz w:val="20"/>
        </w:rPr>
        <w:t>me L</w:t>
      </w:r>
      <w:r>
        <w:rPr>
          <w:rFonts w:ascii="Times New Roman" w:hAnsi="Times New Roman" w:cs="Times New Roman"/>
          <w:sz w:val="20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1718" w:rsidRDefault="00201718" w:rsidP="002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2.</w:t>
      </w:r>
      <w:r>
        <w:rPr>
          <w:rFonts w:ascii="Times New Roman" w:hAnsi="Times New Roman" w:cs="Times New Roman"/>
          <w:sz w:val="24"/>
          <w:szCs w:val="24"/>
        </w:rPr>
        <w:t xml:space="preserve"> Composition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pressmud</w:t>
      </w:r>
      <w:proofErr w:type="spellEnd"/>
    </w:p>
    <w:p w:rsidR="00201718" w:rsidRDefault="00201718" w:rsidP="00201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9"/>
        <w:gridCol w:w="5131"/>
      </w:tblGrid>
      <w:tr w:rsidR="00201718" w:rsidTr="00201718">
        <w:trPr>
          <w:trHeight w:val="22"/>
        </w:trPr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Parameters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Value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pH (1:5)</w:t>
            </w:r>
          </w:p>
        </w:tc>
        <w:tc>
          <w:tcPr>
            <w:tcW w:w="27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5.2 ± 0.08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EC (1:5)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-12"/>
                <w:sz w:val="24"/>
                <w:szCs w:val="24"/>
                <w:vertAlign w:val="subscript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n-IN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 xml:space="preserve">1.1 ± 0.06 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Moisture (%)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48.8 ± 1.5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Carbon (%)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30.7 ± 1.1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Nitrogen (%)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2.31 ± 0.5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Sulphur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 xml:space="preserve"> (%)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1.44 ± 0.07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Calcium (%)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2.17 ± 0.05</w:t>
            </w:r>
          </w:p>
        </w:tc>
      </w:tr>
      <w:tr w:rsidR="00201718" w:rsidTr="00201718">
        <w:trPr>
          <w:trHeight w:val="22"/>
        </w:trPr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Magnesium (%)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1718" w:rsidRDefault="0020171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/>
              </w:rPr>
              <w:t>1.08 ± 0.0</w:t>
            </w:r>
          </w:p>
        </w:tc>
      </w:tr>
    </w:tbl>
    <w:p w:rsidR="00201718" w:rsidRDefault="00201718" w:rsidP="002017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201718" w:rsidRDefault="00201718" w:rsidP="00201718">
      <w:pPr>
        <w:spacing w:after="0"/>
        <w:rPr>
          <w:rFonts w:ascii="Times New Roman" w:hAnsi="Times New Roman" w:cs="Times New Roman"/>
        </w:rPr>
        <w:sectPr w:rsidR="00201718">
          <w:pgSz w:w="12240" w:h="15840"/>
          <w:pgMar w:top="1440" w:right="1440" w:bottom="1440" w:left="1440" w:header="720" w:footer="720" w:gutter="0"/>
          <w:lnNumType w:countBy="1" w:restart="continuous"/>
          <w:cols w:space="720"/>
        </w:sectPr>
      </w:pPr>
    </w:p>
    <w:p w:rsidR="00201718" w:rsidRDefault="00201718" w:rsidP="002017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Catalogue of cultivation practices for the field experimentation</w:t>
      </w:r>
    </w:p>
    <w:tbl>
      <w:tblPr>
        <w:tblStyle w:val="TableGrid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2335"/>
        <w:gridCol w:w="2337"/>
        <w:gridCol w:w="2337"/>
        <w:gridCol w:w="2337"/>
      </w:tblGrid>
      <w:tr w:rsidR="00201718" w:rsidTr="00201718">
        <w:tc>
          <w:tcPr>
            <w:tcW w:w="14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operations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Wheat</w:t>
            </w:r>
          </w:p>
        </w:tc>
      </w:tr>
      <w:tr w:rsidR="00201718" w:rsidTr="0020171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CSR 30 Basmati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1121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KRL 210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HD 2967</w:t>
            </w:r>
          </w:p>
        </w:tc>
      </w:tr>
      <w:tr w:rsidR="00201718" w:rsidTr="00201718"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Sowing/harvesting schedule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2014-15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11Jul/30 Oct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11Jul/22 Oct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Nov/3 Apr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Nov/10 Apr</w:t>
            </w:r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2015-16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Jul/26 Oct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Jul/17 Oct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Nov/28 Mar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Nov/4 Apr</w:t>
            </w:r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2016-17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Jul/22 Oct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Jul/14 Oct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Oct/31 Mar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Oct/5 Apr</w:t>
            </w:r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2017-18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Jul/2 Nov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Jul/24 Oct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Nov/1 Apr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Nov/7 Apr</w:t>
            </w:r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Sowing method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Puddled transplanted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Puddled transplanted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 till drill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 till drill</w:t>
            </w:r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Spacing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30-35 plants/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30-35 plants/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22.5 cm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RxR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22.5 cm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RxR</w:t>
            </w:r>
            <w:proofErr w:type="spellEnd"/>
          </w:p>
        </w:tc>
      </w:tr>
      <w:tr w:rsidR="00201718" w:rsidTr="00201718"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Fertilization (kg 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)* N:P:K:Zn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60:26:50:5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120:26:50:5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150:26:50:0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150:26:50:0</w:t>
            </w:r>
          </w:p>
        </w:tc>
      </w:tr>
      <w:tr w:rsidR="00201718" w:rsidTr="00201718">
        <w:trPr>
          <w:trHeight w:val="60"/>
        </w:trPr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Fertilizer scheduling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P, K, and Zn at the time of transplanting; half N at 3 WAT and remaining half 6 WAT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P, K, and Zn at the time of transplanting; half N at 3 WAT and remaining half 6 WAT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P, K and 1/3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at sowing, remaining N in 2 splits at first and second irrigation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P, K and 1/3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at sowing, remaining N in 2 splits at first and second irrigation</w:t>
            </w:r>
          </w:p>
        </w:tc>
      </w:tr>
    </w:tbl>
    <w:p w:rsidR="00201718" w:rsidRDefault="00201718" w:rsidP="002017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*Neutralization ameliorants as per treatments; WAT-Weeks after transplanting,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RxR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-Row to Row</w:t>
      </w:r>
    </w:p>
    <w:p w:rsidR="00201718" w:rsidRDefault="00201718" w:rsidP="00201718">
      <w:pPr>
        <w:rPr>
          <w:rFonts w:ascii="Times New Roman" w:hAnsi="Times New Roman" w:cs="Times New Roman"/>
        </w:rPr>
      </w:pPr>
    </w:p>
    <w:p w:rsidR="00201718" w:rsidRDefault="00201718" w:rsidP="00201718">
      <w:pPr>
        <w:rPr>
          <w:rFonts w:ascii="Times New Roman" w:hAnsi="Times New Roman" w:cs="Times New Roman"/>
        </w:rPr>
      </w:pPr>
    </w:p>
    <w:p w:rsidR="00201718" w:rsidRDefault="00201718" w:rsidP="00201718">
      <w:pPr>
        <w:rPr>
          <w:rFonts w:ascii="Times New Roman" w:hAnsi="Times New Roman" w:cs="Times New Roman"/>
        </w:rPr>
      </w:pPr>
    </w:p>
    <w:p w:rsidR="00201718" w:rsidRDefault="00201718" w:rsidP="00201718">
      <w:pPr>
        <w:spacing w:after="0"/>
        <w:rPr>
          <w:rFonts w:ascii="Times New Roman" w:hAnsi="Times New Roman" w:cs="Times New Roman"/>
        </w:rPr>
        <w:sectPr w:rsidR="00201718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</w:sectPr>
      </w:pPr>
    </w:p>
    <w:p w:rsidR="00201718" w:rsidRDefault="00201718" w:rsidP="0020171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in crop physiological parameters in response to </w:t>
      </w:r>
      <w:r>
        <w:rPr>
          <w:rFonts w:ascii="Times New Roman" w:hAnsi="Times New Roman" w:cs="Times New Roman"/>
          <w:sz w:val="24"/>
          <w:szCs w:val="24"/>
        </w:rPr>
        <w:t xml:space="preserve">continuous irrigation with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RSC</w:t>
      </w:r>
      <w:r>
        <w:rPr>
          <w:rFonts w:ascii="Times New Roman" w:hAnsi="Times New Roman" w:cs="Times New Roman"/>
          <w:sz w:val="24"/>
          <w:szCs w:val="24"/>
          <w:vertAlign w:val="subscript"/>
        </w:rPr>
        <w:t>iw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1718" w:rsidRDefault="00201718" w:rsidP="00201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48"/>
        <w:gridCol w:w="1049"/>
        <w:gridCol w:w="1049"/>
        <w:gridCol w:w="1049"/>
        <w:gridCol w:w="1049"/>
        <w:gridCol w:w="1049"/>
        <w:gridCol w:w="1049"/>
        <w:gridCol w:w="1049"/>
      </w:tblGrid>
      <w:tr w:rsidR="00201718" w:rsidTr="00201718">
        <w:tc>
          <w:tcPr>
            <w:tcW w:w="18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Parameters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Wheat</w:t>
            </w:r>
          </w:p>
        </w:tc>
      </w:tr>
      <w:tr w:rsidR="00201718" w:rsidTr="0020171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RSC≈5 me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RSC≈7 me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RSC≈5 me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RSC≈7 me 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</w:tr>
      <w:tr w:rsidR="00201718" w:rsidTr="00201718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CSR 30 Basmati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CSR 30 Basmati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KRL 210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HD 2967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KRL 210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HD 2967</w:t>
            </w:r>
          </w:p>
        </w:tc>
      </w:tr>
      <w:tr w:rsidR="00201718" w:rsidTr="00201718">
        <w:tc>
          <w:tcPr>
            <w:tcW w:w="181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Relative Water Content, RWC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Membrane Injury index, MII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Photosynthetic rate,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µ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Conductance,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Transpiration Rate, E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Chlorophyll Fluorescence,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Fm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Photon Quantum Yield, Y(II)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Shoot 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ratio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Root 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ratio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</w:tbl>
    <w:p w:rsidR="00201718" w:rsidRDefault="00201718" w:rsidP="0020171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Data followed by different lowercase letters differ significantly according to LSD (P=0.05) for separation of means within varieties in response to particular RSC level.</w:t>
      </w:r>
    </w:p>
    <w:p w:rsidR="00201718" w:rsidRDefault="00201718" w:rsidP="002017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01718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</w:sectPr>
      </w:pPr>
    </w:p>
    <w:p w:rsidR="00201718" w:rsidRDefault="00201718" w:rsidP="00201718">
      <w:pPr>
        <w:spacing w:after="0" w:line="240" w:lineRule="auto"/>
        <w:ind w:left="851" w:hanging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5.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Description of yield attributing characters for rice and wheat crop in response to neutralization treatments and RSC levels</w:t>
      </w:r>
    </w:p>
    <w:p w:rsidR="00201718" w:rsidRDefault="00201718" w:rsidP="00201718">
      <w:pPr>
        <w:spacing w:after="0" w:line="240" w:lineRule="auto"/>
        <w:ind w:left="851" w:hanging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088"/>
        <w:gridCol w:w="1088"/>
        <w:gridCol w:w="1094"/>
        <w:gridCol w:w="1091"/>
        <w:gridCol w:w="1094"/>
        <w:gridCol w:w="1091"/>
        <w:gridCol w:w="1091"/>
        <w:gridCol w:w="1094"/>
        <w:gridCol w:w="1091"/>
        <w:gridCol w:w="1188"/>
      </w:tblGrid>
      <w:tr w:rsidR="00201718" w:rsidTr="00201718">
        <w:trPr>
          <w:trHeight w:val="56"/>
        </w:trPr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RSC levels</w:t>
            </w:r>
          </w:p>
        </w:tc>
        <w:tc>
          <w:tcPr>
            <w:tcW w:w="41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Neutralization treatments</w:t>
            </w:r>
          </w:p>
        </w:tc>
      </w:tr>
      <w:tr w:rsidR="00201718" w:rsidTr="00201718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RSC water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Gyp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Gyp + PM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RSC water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Gyp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Gyp + PM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</w:tr>
      <w:tr w:rsidR="00201718" w:rsidTr="00201718">
        <w:trPr>
          <w:trHeight w:val="98"/>
        </w:trPr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Rice</w:t>
            </w:r>
          </w:p>
        </w:tc>
      </w:tr>
      <w:tr w:rsidR="00201718" w:rsidTr="0020171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Productive tillers per hill</w:t>
            </w:r>
          </w:p>
        </w:tc>
        <w:tc>
          <w:tcPr>
            <w:tcW w:w="210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Tillers sterility (%)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≈5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≈7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Grains per panicle</w:t>
            </w:r>
          </w:p>
        </w:tc>
        <w:tc>
          <w:tcPr>
            <w:tcW w:w="210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Chaffy grains per panicle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≈5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≈7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Earhead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filling ratio</w:t>
            </w:r>
          </w:p>
        </w:tc>
        <w:tc>
          <w:tcPr>
            <w:tcW w:w="210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1000-grain weight (g)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≈5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≈7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Wheat 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Productive tillers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mrl</w:t>
            </w:r>
            <w:proofErr w:type="spellEnd"/>
          </w:p>
        </w:tc>
        <w:tc>
          <w:tcPr>
            <w:tcW w:w="210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Spikelets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 spike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≈5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cd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≈7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cd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f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Grains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earhead</w:t>
            </w:r>
            <w:proofErr w:type="spellEnd"/>
          </w:p>
        </w:tc>
        <w:tc>
          <w:tcPr>
            <w:tcW w:w="210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1000-grain weight (g)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≈5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≈7 me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f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d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39.64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</w:tr>
      <w:tr w:rsidR="00201718" w:rsidTr="00201718">
        <w:trPr>
          <w:trHeight w:val="56"/>
        </w:trPr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C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56.8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58.8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AB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38.73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B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41.61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01718" w:rsidRDefault="00201718" w:rsidP="002017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Data followed by different lowercase letters (neutralization amendments x RSC levels) and capital letters within same row (neutralization amendments mean values across different RSC levels) or column (RSC mean values across neutralization amendments) for a particular parameter differ significantly according to LSD (P=0.05) for separation of means.</w:t>
      </w:r>
    </w:p>
    <w:p w:rsidR="00201718" w:rsidRDefault="00201718" w:rsidP="00201718">
      <w:pPr>
        <w:spacing w:after="0"/>
        <w:rPr>
          <w:rFonts w:ascii="Times New Roman" w:hAnsi="Times New Roman" w:cs="Times New Roman"/>
        </w:rPr>
        <w:sectPr w:rsidR="00201718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</w:sectPr>
      </w:pPr>
    </w:p>
    <w:p w:rsidR="00201718" w:rsidRDefault="00201718" w:rsidP="00201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6.</w:t>
      </w:r>
      <w:r>
        <w:rPr>
          <w:rFonts w:ascii="Times New Roman" w:hAnsi="Times New Roman" w:cs="Times New Roman"/>
          <w:sz w:val="24"/>
          <w:szCs w:val="24"/>
        </w:rPr>
        <w:t xml:space="preserve"> Interactive effect of RSC irrigation water neutralization ameliorants and varieties on the crop’s productivity at two sites (mean of 4 years)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1"/>
        <w:gridCol w:w="730"/>
        <w:gridCol w:w="730"/>
        <w:gridCol w:w="730"/>
        <w:gridCol w:w="732"/>
        <w:gridCol w:w="758"/>
        <w:gridCol w:w="758"/>
        <w:gridCol w:w="758"/>
        <w:gridCol w:w="758"/>
        <w:gridCol w:w="758"/>
      </w:tblGrid>
      <w:tr w:rsidR="00201718" w:rsidTr="00201718">
        <w:trPr>
          <w:trHeight w:val="56"/>
        </w:trPr>
        <w:tc>
          <w:tcPr>
            <w:tcW w:w="9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Varieties</w:t>
            </w:r>
          </w:p>
        </w:tc>
        <w:tc>
          <w:tcPr>
            <w:tcW w:w="40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Yield (t ha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</w:tr>
      <w:tr w:rsidR="00201718" w:rsidTr="00201718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Cs w:val="22"/>
                <w:vertAlign w:val="subscript"/>
              </w:rPr>
              <w:t>iw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≈5 me L</w:t>
            </w:r>
            <w:r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-1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RSC</w:t>
            </w:r>
            <w:r>
              <w:rPr>
                <w:rFonts w:ascii="Times New Roman" w:hAnsi="Times New Roman" w:cs="Times New Roman"/>
                <w:color w:val="000000"/>
                <w:szCs w:val="22"/>
                <w:vertAlign w:val="subscript"/>
              </w:rPr>
              <w:t>iw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≈7 me 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-1</w:t>
            </w:r>
          </w:p>
        </w:tc>
      </w:tr>
      <w:tr w:rsidR="00201718" w:rsidTr="00201718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718" w:rsidRDefault="002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RSC water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Gyp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Gyp + PM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Mean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RSC water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Gyp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PM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Gyp + PM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Mean</w:t>
            </w:r>
          </w:p>
        </w:tc>
      </w:tr>
      <w:tr w:rsidR="00201718" w:rsidTr="00201718">
        <w:trPr>
          <w:trHeight w:val="56"/>
        </w:trPr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Rice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/>
              <w:rPr>
                <w:rFonts w:eastAsiaTheme="minorHAnsi"/>
                <w:lang w:val="en-I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01718" w:rsidTr="00201718">
        <w:trPr>
          <w:trHeight w:val="6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CSR 30 Basmati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</w:tr>
      <w:tr w:rsidR="00201718" w:rsidTr="00201718">
        <w:trPr>
          <w:trHeight w:val="56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PB 1121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</w:tr>
      <w:tr w:rsidR="00201718" w:rsidTr="00201718">
        <w:trPr>
          <w:trHeight w:val="56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Mean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2.98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d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2.93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c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3.16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01718" w:rsidTr="00201718">
        <w:trPr>
          <w:trHeight w:val="66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Wheat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01718" w:rsidTr="00201718">
        <w:trPr>
          <w:trHeight w:val="63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KRL 210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4.74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</w:tr>
      <w:tr w:rsidR="00201718" w:rsidTr="00201718">
        <w:trPr>
          <w:trHeight w:val="66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HD 2967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2.99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3.53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</w:tr>
      <w:tr w:rsidR="00201718" w:rsidTr="00201718">
        <w:trPr>
          <w:trHeight w:val="63"/>
        </w:trPr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718" w:rsidRDefault="0020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Mean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3.71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d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d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c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3.96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</w:rPr>
              <w:t>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718" w:rsidRDefault="0020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201718" w:rsidRDefault="00201718" w:rsidP="0020171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Data followed by different lowercase letters within same row (neutralization amendments mean across varieties) or within column (variety mean across neutralization amendments) differ significantly at P=0.05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according to LSD (P=0.05) for separation of means.</w:t>
      </w:r>
    </w:p>
    <w:p w:rsidR="00201718" w:rsidRDefault="00201718" w:rsidP="00201718">
      <w:pPr>
        <w:rPr>
          <w:rFonts w:ascii="Times New Roman" w:hAnsi="Times New Roman" w:cs="Times New Roman"/>
        </w:rPr>
      </w:pPr>
    </w:p>
    <w:p w:rsidR="00BD3938" w:rsidRDefault="00BD3938">
      <w:bookmarkStart w:id="0" w:name="_GoBack"/>
      <w:bookmarkEnd w:id="0"/>
    </w:p>
    <w:sectPr w:rsidR="00BD3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DC"/>
    <w:rsid w:val="000155DC"/>
    <w:rsid w:val="00201718"/>
    <w:rsid w:val="00B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7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7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1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71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01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71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1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18"/>
    <w:rPr>
      <w:rFonts w:ascii="Tahoma" w:eastAsiaTheme="minorEastAsia" w:hAnsi="Tahoma" w:cs="Mangal"/>
      <w:sz w:val="16"/>
      <w:szCs w:val="14"/>
      <w:lang w:val="en-US"/>
    </w:rPr>
  </w:style>
  <w:style w:type="paragraph" w:styleId="ListParagraph">
    <w:name w:val="List Paragraph"/>
    <w:basedOn w:val="Normal"/>
    <w:uiPriority w:val="34"/>
    <w:qFormat/>
    <w:rsid w:val="00201718"/>
    <w:pPr>
      <w:ind w:left="720"/>
      <w:contextualSpacing/>
    </w:pPr>
    <w:rPr>
      <w:rFonts w:ascii="Calibri" w:eastAsia="Times New Roman" w:hAnsi="Calibri" w:cs="Times New Roman"/>
      <w:szCs w:val="22"/>
      <w:lang w:val="en-IN" w:bidi="ar-SA"/>
    </w:rPr>
  </w:style>
  <w:style w:type="character" w:customStyle="1" w:styleId="title-text">
    <w:name w:val="title-text"/>
    <w:basedOn w:val="DefaultParagraphFont"/>
    <w:rsid w:val="00201718"/>
  </w:style>
  <w:style w:type="character" w:customStyle="1" w:styleId="text">
    <w:name w:val="text"/>
    <w:basedOn w:val="DefaultParagraphFont"/>
    <w:rsid w:val="00201718"/>
  </w:style>
  <w:style w:type="table" w:styleId="TableGrid">
    <w:name w:val="Table Grid"/>
    <w:basedOn w:val="TableNormal"/>
    <w:uiPriority w:val="59"/>
    <w:rsid w:val="0020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20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7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7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1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71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01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71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1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18"/>
    <w:rPr>
      <w:rFonts w:ascii="Tahoma" w:eastAsiaTheme="minorEastAsia" w:hAnsi="Tahoma" w:cs="Mangal"/>
      <w:sz w:val="16"/>
      <w:szCs w:val="14"/>
      <w:lang w:val="en-US"/>
    </w:rPr>
  </w:style>
  <w:style w:type="paragraph" w:styleId="ListParagraph">
    <w:name w:val="List Paragraph"/>
    <w:basedOn w:val="Normal"/>
    <w:uiPriority w:val="34"/>
    <w:qFormat/>
    <w:rsid w:val="00201718"/>
    <w:pPr>
      <w:ind w:left="720"/>
      <w:contextualSpacing/>
    </w:pPr>
    <w:rPr>
      <w:rFonts w:ascii="Calibri" w:eastAsia="Times New Roman" w:hAnsi="Calibri" w:cs="Times New Roman"/>
      <w:szCs w:val="22"/>
      <w:lang w:val="en-IN" w:bidi="ar-SA"/>
    </w:rPr>
  </w:style>
  <w:style w:type="character" w:customStyle="1" w:styleId="title-text">
    <w:name w:val="title-text"/>
    <w:basedOn w:val="DefaultParagraphFont"/>
    <w:rsid w:val="00201718"/>
  </w:style>
  <w:style w:type="character" w:customStyle="1" w:styleId="text">
    <w:name w:val="text"/>
    <w:basedOn w:val="DefaultParagraphFont"/>
    <w:rsid w:val="00201718"/>
  </w:style>
  <w:style w:type="table" w:styleId="TableGrid">
    <w:name w:val="Table Grid"/>
    <w:basedOn w:val="TableNormal"/>
    <w:uiPriority w:val="59"/>
    <w:rsid w:val="0020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20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1113</Words>
  <Characters>6346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2019-11-26T09:51:00Z</dcterms:created>
  <dcterms:modified xsi:type="dcterms:W3CDTF">2019-11-26T09:56:00Z</dcterms:modified>
</cp:coreProperties>
</file>