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AB" w:rsidRPr="00F758BC" w:rsidRDefault="00110DAB" w:rsidP="00110DAB">
      <w:pPr>
        <w:spacing w:before="120" w:after="120"/>
        <w:ind w:firstLine="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F758BC">
        <w:rPr>
          <w:rFonts w:ascii="Times New Roman" w:eastAsia="Calibri" w:hAnsi="Times New Roman"/>
          <w:b/>
          <w:bCs/>
          <w:sz w:val="24"/>
          <w:szCs w:val="24"/>
        </w:rPr>
        <w:t xml:space="preserve">Disease incidence and severity of leaf, panicle and fruit blight </w:t>
      </w:r>
      <w:r w:rsidR="00E84524">
        <w:rPr>
          <w:rFonts w:ascii="Times New Roman" w:eastAsia="Calibri" w:hAnsi="Times New Roman"/>
          <w:b/>
          <w:bCs/>
          <w:sz w:val="24"/>
          <w:szCs w:val="24"/>
        </w:rPr>
        <w:t>during 2017 season</w:t>
      </w:r>
    </w:p>
    <w:p w:rsidR="00110DAB" w:rsidRPr="00E03563" w:rsidRDefault="00110DAB" w:rsidP="00110DAB">
      <w:pPr>
        <w:spacing w:before="120" w:after="12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0DAB" w:rsidRPr="00E03563" w:rsidRDefault="00110DAB" w:rsidP="00110DAB">
      <w:pPr>
        <w:pStyle w:val="ListParagraph"/>
        <w:ind w:left="0"/>
        <w:jc w:val="center"/>
      </w:pPr>
      <w:r>
        <w:rPr>
          <w:noProof/>
          <w:lang w:val="en-IN" w:eastAsia="en-IN" w:bidi="hi-IN"/>
        </w:rPr>
        <w:drawing>
          <wp:inline distT="0" distB="0" distL="0" distR="0">
            <wp:extent cx="5934075" cy="3771900"/>
            <wp:effectExtent l="19050" t="0" r="9525" b="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DAB" w:rsidRPr="00E03563" w:rsidRDefault="00110DAB" w:rsidP="00110DAB">
      <w:pPr>
        <w:ind w:firstLine="0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110DAB" w:rsidRPr="00E03563" w:rsidRDefault="00110DAB" w:rsidP="00110DAB">
      <w:pPr>
        <w:ind w:firstLine="0"/>
        <w:jc w:val="both"/>
        <w:rPr>
          <w:rFonts w:ascii="Times New Roman" w:hAnsi="Times New Roman"/>
          <w:sz w:val="24"/>
          <w:szCs w:val="24"/>
          <w:lang w:eastAsia="en-IN"/>
        </w:rPr>
      </w:pPr>
      <w:proofErr w:type="gramStart"/>
      <w:r w:rsidRPr="00E03563">
        <w:rPr>
          <w:rFonts w:ascii="Times New Roman" w:hAnsi="Times New Roman"/>
          <w:sz w:val="24"/>
          <w:szCs w:val="24"/>
          <w:lang w:val="en-GB"/>
        </w:rPr>
        <w:t>Fig. 1.</w:t>
      </w:r>
      <w:proofErr w:type="gramEnd"/>
      <w:r w:rsidRPr="00E03563">
        <w:rPr>
          <w:rFonts w:ascii="Times New Roman" w:hAnsi="Times New Roman"/>
          <w:sz w:val="24"/>
          <w:szCs w:val="24"/>
          <w:lang w:val="en-GB"/>
        </w:rPr>
        <w:t xml:space="preserve"> Disease incidence (DI), percent infected leaves (IL) and percent disease severity index (PDI) of leaf blight disease </w:t>
      </w:r>
      <w:r w:rsidRPr="00E03563">
        <w:rPr>
          <w:rFonts w:ascii="Times New Roman" w:hAnsi="Times New Roman"/>
          <w:sz w:val="24"/>
          <w:szCs w:val="24"/>
        </w:rPr>
        <w:t>on nursery plants</w:t>
      </w:r>
      <w:r w:rsidRPr="00E03563">
        <w:rPr>
          <w:rFonts w:ascii="Times New Roman" w:hAnsi="Times New Roman"/>
          <w:sz w:val="24"/>
          <w:szCs w:val="24"/>
          <w:lang w:val="en-GB"/>
        </w:rPr>
        <w:t xml:space="preserve"> of litchi during 2017 at NRCL Experimental Farm, </w:t>
      </w:r>
      <w:proofErr w:type="spellStart"/>
      <w:r w:rsidRPr="00E03563">
        <w:rPr>
          <w:rFonts w:ascii="Times New Roman" w:hAnsi="Times New Roman"/>
          <w:sz w:val="24"/>
          <w:szCs w:val="24"/>
          <w:lang w:val="en-GB"/>
        </w:rPr>
        <w:t>Muzaffarpur</w:t>
      </w:r>
      <w:proofErr w:type="spellEnd"/>
      <w:r w:rsidRPr="00E03563">
        <w:rPr>
          <w:rFonts w:ascii="Times New Roman" w:hAnsi="Times New Roman"/>
          <w:sz w:val="24"/>
          <w:szCs w:val="24"/>
          <w:lang w:val="en-GB"/>
        </w:rPr>
        <w:t>. Height of columns indicates the mean value of parameters in six nurseries, whereas the value above bars indicates the range in samples; the vertical bar indicates standard error (SE) of the mean. The least significant difference (LSD)</w:t>
      </w:r>
      <w:r w:rsidRPr="00E03563">
        <w:rPr>
          <w:rFonts w:ascii="Times New Roman" w:hAnsi="Times New Roman"/>
          <w:sz w:val="24"/>
          <w:szCs w:val="24"/>
        </w:rPr>
        <w:t xml:space="preserve"> at </w:t>
      </w:r>
      <w:r w:rsidRPr="00E03563">
        <w:rPr>
          <w:rFonts w:ascii="Times New Roman" w:hAnsi="Times New Roman"/>
          <w:i/>
          <w:iCs/>
          <w:sz w:val="24"/>
          <w:szCs w:val="24"/>
        </w:rPr>
        <w:t>P=</w:t>
      </w:r>
      <w:r w:rsidRPr="00E03563">
        <w:rPr>
          <w:rFonts w:ascii="Times New Roman" w:hAnsi="Times New Roman"/>
          <w:sz w:val="24"/>
          <w:szCs w:val="24"/>
        </w:rPr>
        <w:t>0.05</w:t>
      </w:r>
      <w:r w:rsidRPr="00E03563">
        <w:rPr>
          <w:rFonts w:ascii="Times New Roman" w:hAnsi="Times New Roman"/>
          <w:sz w:val="24"/>
          <w:szCs w:val="24"/>
          <w:lang w:val="en-GB"/>
        </w:rPr>
        <w:t xml:space="preserve"> for DI, LI and PDI were 3.75, 5.64, and 5.90, respectively.</w:t>
      </w:r>
    </w:p>
    <w:p w:rsidR="00110DAB" w:rsidRPr="00E03563" w:rsidRDefault="00110DAB" w:rsidP="00110DAB">
      <w:pPr>
        <w:jc w:val="center"/>
        <w:rPr>
          <w:rFonts w:ascii="Times New Roman" w:hAnsi="Times New Roman"/>
          <w:sz w:val="24"/>
          <w:szCs w:val="24"/>
        </w:rPr>
      </w:pPr>
    </w:p>
    <w:p w:rsidR="00110DAB" w:rsidRPr="00E03563" w:rsidRDefault="00110DAB" w:rsidP="00110DAB">
      <w:pPr>
        <w:jc w:val="center"/>
        <w:rPr>
          <w:rFonts w:ascii="Times New Roman" w:hAnsi="Times New Roman"/>
          <w:sz w:val="24"/>
          <w:szCs w:val="24"/>
        </w:rPr>
      </w:pPr>
      <w:r w:rsidRPr="00E03563">
        <w:rPr>
          <w:rFonts w:ascii="Times New Roman" w:hAnsi="Times New Roman"/>
          <w:sz w:val="24"/>
          <w:szCs w:val="24"/>
        </w:rPr>
        <w:br w:type="page"/>
      </w:r>
      <w:r w:rsidRPr="00E03563">
        <w:rPr>
          <w:rFonts w:ascii="Times New Roman" w:hAnsi="Times New Roman"/>
          <w:sz w:val="24"/>
          <w:szCs w:val="24"/>
          <w:cs/>
        </w:rPr>
        <w:lastRenderedPageBreak/>
        <w:t xml:space="preserve">Table </w:t>
      </w:r>
      <w:r w:rsidRPr="00E03563">
        <w:rPr>
          <w:rFonts w:ascii="Times New Roman" w:hAnsi="Times New Roman"/>
          <w:sz w:val="24"/>
          <w:szCs w:val="24"/>
        </w:rPr>
        <w:t>1</w:t>
      </w:r>
      <w:r w:rsidRPr="00E03563">
        <w:rPr>
          <w:rFonts w:ascii="Times New Roman" w:hAnsi="Times New Roman"/>
          <w:sz w:val="24"/>
          <w:szCs w:val="24"/>
          <w:cs/>
        </w:rPr>
        <w:t xml:space="preserve">: </w:t>
      </w:r>
      <w:r w:rsidRPr="00E03563">
        <w:rPr>
          <w:rFonts w:ascii="Times New Roman" w:hAnsi="Times New Roman"/>
          <w:sz w:val="24"/>
          <w:szCs w:val="24"/>
        </w:rPr>
        <w:t>Disease incidence and severity of panicle blight during 2017 season*</w:t>
      </w:r>
    </w:p>
    <w:p w:rsidR="00110DAB" w:rsidRPr="00E03563" w:rsidRDefault="00110DAB" w:rsidP="00110DA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8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1475"/>
        <w:gridCol w:w="1121"/>
        <w:gridCol w:w="1121"/>
        <w:gridCol w:w="1121"/>
        <w:gridCol w:w="1121"/>
        <w:gridCol w:w="1122"/>
      </w:tblGrid>
      <w:tr w:rsidR="00110DAB" w:rsidRPr="00E03563" w:rsidTr="00177E32">
        <w:trPr>
          <w:trHeight w:val="466"/>
          <w:jc w:val="center"/>
        </w:trPr>
        <w:tc>
          <w:tcPr>
            <w:tcW w:w="1242" w:type="dxa"/>
            <w:vMerge w:val="restart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Block/ Orchard</w:t>
            </w:r>
          </w:p>
        </w:tc>
        <w:tc>
          <w:tcPr>
            <w:tcW w:w="1475" w:type="dxa"/>
            <w:vMerge w:val="restart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Disease incidence (%)</w:t>
            </w:r>
          </w:p>
        </w:tc>
        <w:tc>
          <w:tcPr>
            <w:tcW w:w="5606" w:type="dxa"/>
            <w:gridSpan w:val="5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%  Distribution of trees in various severity categories</w:t>
            </w:r>
          </w:p>
        </w:tc>
      </w:tr>
      <w:tr w:rsidR="00110DAB" w:rsidRPr="00E03563" w:rsidTr="00177E32">
        <w:trPr>
          <w:trHeight w:val="204"/>
          <w:jc w:val="center"/>
        </w:trPr>
        <w:tc>
          <w:tcPr>
            <w:tcW w:w="1242" w:type="dxa"/>
            <w:vMerge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5" w:type="dxa"/>
            <w:vMerge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1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&lt;20</w:t>
            </w:r>
          </w:p>
        </w:tc>
        <w:tc>
          <w:tcPr>
            <w:tcW w:w="1121" w:type="dxa"/>
            <w:hideMark/>
          </w:tcPr>
          <w:p w:rsidR="00110DAB" w:rsidRPr="00E03563" w:rsidRDefault="00110DAB" w:rsidP="00177E3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21-40</w:t>
            </w:r>
          </w:p>
        </w:tc>
        <w:tc>
          <w:tcPr>
            <w:tcW w:w="1121" w:type="dxa"/>
            <w:hideMark/>
          </w:tcPr>
          <w:p w:rsidR="00110DAB" w:rsidRPr="00E03563" w:rsidRDefault="00110DAB" w:rsidP="00177E3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41-60</w:t>
            </w:r>
          </w:p>
        </w:tc>
        <w:tc>
          <w:tcPr>
            <w:tcW w:w="1121" w:type="dxa"/>
            <w:hideMark/>
          </w:tcPr>
          <w:p w:rsidR="00110DAB" w:rsidRPr="00E03563" w:rsidRDefault="00110DAB" w:rsidP="00177E3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61-80</w:t>
            </w:r>
          </w:p>
        </w:tc>
        <w:tc>
          <w:tcPr>
            <w:tcW w:w="1122" w:type="dxa"/>
            <w:hideMark/>
          </w:tcPr>
          <w:p w:rsidR="00110DAB" w:rsidRPr="00E03563" w:rsidRDefault="00110DAB" w:rsidP="00177E3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&gt;80</w:t>
            </w:r>
          </w:p>
        </w:tc>
      </w:tr>
      <w:tr w:rsidR="00110DAB" w:rsidRPr="00E03563" w:rsidTr="00177E32">
        <w:trPr>
          <w:trHeight w:val="208"/>
          <w:jc w:val="center"/>
        </w:trPr>
        <w:tc>
          <w:tcPr>
            <w:tcW w:w="8323" w:type="dxa"/>
            <w:gridSpan w:val="7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cv. ‘</w:t>
            </w:r>
            <w:proofErr w:type="spellStart"/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Shahi</w:t>
            </w:r>
            <w:proofErr w:type="spellEnd"/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’,</w:t>
            </w:r>
            <w:r w:rsidRPr="00E03563">
              <w:rPr>
                <w:rFonts w:ascii="Times New Roman" w:hAnsi="Times New Roman"/>
                <w:bCs/>
                <w:sz w:val="24"/>
                <w:szCs w:val="24"/>
              </w:rPr>
              <w:t xml:space="preserve"> April 2017</w:t>
            </w:r>
          </w:p>
        </w:tc>
      </w:tr>
      <w:tr w:rsidR="00110DAB" w:rsidRPr="00E03563" w:rsidTr="00177E32">
        <w:trPr>
          <w:trHeight w:val="211"/>
          <w:jc w:val="center"/>
        </w:trPr>
        <w:tc>
          <w:tcPr>
            <w:tcW w:w="1242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I</w:t>
            </w:r>
          </w:p>
        </w:tc>
        <w:tc>
          <w:tcPr>
            <w:tcW w:w="1475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20.8</w:t>
            </w:r>
          </w:p>
        </w:tc>
        <w:tc>
          <w:tcPr>
            <w:tcW w:w="1121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40.0</w:t>
            </w:r>
          </w:p>
        </w:tc>
        <w:tc>
          <w:tcPr>
            <w:tcW w:w="1121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60.0</w:t>
            </w:r>
          </w:p>
        </w:tc>
        <w:tc>
          <w:tcPr>
            <w:tcW w:w="1121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0.0</w:t>
            </w:r>
          </w:p>
        </w:tc>
        <w:tc>
          <w:tcPr>
            <w:tcW w:w="1121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0.0</w:t>
            </w:r>
          </w:p>
        </w:tc>
        <w:tc>
          <w:tcPr>
            <w:tcW w:w="1122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0.0</w:t>
            </w:r>
          </w:p>
        </w:tc>
      </w:tr>
      <w:tr w:rsidR="00110DAB" w:rsidRPr="00E03563" w:rsidTr="00177E32">
        <w:trPr>
          <w:trHeight w:val="145"/>
          <w:jc w:val="center"/>
        </w:trPr>
        <w:tc>
          <w:tcPr>
            <w:tcW w:w="1242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II</w:t>
            </w:r>
          </w:p>
        </w:tc>
        <w:tc>
          <w:tcPr>
            <w:tcW w:w="1475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28.0</w:t>
            </w:r>
          </w:p>
        </w:tc>
        <w:tc>
          <w:tcPr>
            <w:tcW w:w="1121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71.4</w:t>
            </w:r>
          </w:p>
        </w:tc>
        <w:tc>
          <w:tcPr>
            <w:tcW w:w="1121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28.6</w:t>
            </w:r>
          </w:p>
        </w:tc>
        <w:tc>
          <w:tcPr>
            <w:tcW w:w="1121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0.0</w:t>
            </w:r>
          </w:p>
        </w:tc>
        <w:tc>
          <w:tcPr>
            <w:tcW w:w="1121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0.0</w:t>
            </w:r>
          </w:p>
        </w:tc>
        <w:tc>
          <w:tcPr>
            <w:tcW w:w="1122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0.0</w:t>
            </w:r>
          </w:p>
        </w:tc>
      </w:tr>
      <w:tr w:rsidR="00110DAB" w:rsidRPr="00E03563" w:rsidTr="00177E32">
        <w:trPr>
          <w:trHeight w:val="135"/>
          <w:jc w:val="center"/>
        </w:trPr>
        <w:tc>
          <w:tcPr>
            <w:tcW w:w="1242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III</w:t>
            </w:r>
          </w:p>
        </w:tc>
        <w:tc>
          <w:tcPr>
            <w:tcW w:w="1475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25.4</w:t>
            </w:r>
          </w:p>
        </w:tc>
        <w:tc>
          <w:tcPr>
            <w:tcW w:w="1121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20.0</w:t>
            </w:r>
          </w:p>
        </w:tc>
        <w:tc>
          <w:tcPr>
            <w:tcW w:w="1121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53.3</w:t>
            </w:r>
          </w:p>
        </w:tc>
        <w:tc>
          <w:tcPr>
            <w:tcW w:w="1121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26.7</w:t>
            </w:r>
          </w:p>
        </w:tc>
        <w:tc>
          <w:tcPr>
            <w:tcW w:w="1121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0.0</w:t>
            </w:r>
          </w:p>
        </w:tc>
        <w:tc>
          <w:tcPr>
            <w:tcW w:w="1122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0.0</w:t>
            </w:r>
          </w:p>
        </w:tc>
      </w:tr>
      <w:tr w:rsidR="00110DAB" w:rsidRPr="00E03563" w:rsidTr="00177E32">
        <w:trPr>
          <w:trHeight w:val="139"/>
          <w:jc w:val="center"/>
        </w:trPr>
        <w:tc>
          <w:tcPr>
            <w:tcW w:w="1242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IV</w:t>
            </w:r>
          </w:p>
        </w:tc>
        <w:tc>
          <w:tcPr>
            <w:tcW w:w="1475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12.0</w:t>
            </w:r>
          </w:p>
        </w:tc>
        <w:tc>
          <w:tcPr>
            <w:tcW w:w="1121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100.0</w:t>
            </w:r>
          </w:p>
        </w:tc>
        <w:tc>
          <w:tcPr>
            <w:tcW w:w="1121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0.0</w:t>
            </w:r>
          </w:p>
        </w:tc>
        <w:tc>
          <w:tcPr>
            <w:tcW w:w="1121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0.0</w:t>
            </w:r>
          </w:p>
        </w:tc>
        <w:tc>
          <w:tcPr>
            <w:tcW w:w="1121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0.0</w:t>
            </w:r>
          </w:p>
        </w:tc>
        <w:tc>
          <w:tcPr>
            <w:tcW w:w="1122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0.0</w:t>
            </w:r>
          </w:p>
        </w:tc>
      </w:tr>
      <w:tr w:rsidR="00110DAB" w:rsidRPr="00E03563" w:rsidTr="00177E32">
        <w:trPr>
          <w:trHeight w:val="143"/>
          <w:jc w:val="center"/>
        </w:trPr>
        <w:tc>
          <w:tcPr>
            <w:tcW w:w="1242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V</w:t>
            </w:r>
          </w:p>
        </w:tc>
        <w:tc>
          <w:tcPr>
            <w:tcW w:w="1475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27.0</w:t>
            </w:r>
          </w:p>
        </w:tc>
        <w:tc>
          <w:tcPr>
            <w:tcW w:w="1121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83.3</w:t>
            </w:r>
          </w:p>
        </w:tc>
        <w:tc>
          <w:tcPr>
            <w:tcW w:w="1121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8.3</w:t>
            </w:r>
          </w:p>
        </w:tc>
        <w:tc>
          <w:tcPr>
            <w:tcW w:w="1121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8.3</w:t>
            </w:r>
          </w:p>
        </w:tc>
        <w:tc>
          <w:tcPr>
            <w:tcW w:w="1121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0.0</w:t>
            </w:r>
          </w:p>
        </w:tc>
        <w:tc>
          <w:tcPr>
            <w:tcW w:w="1122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0.0</w:t>
            </w:r>
          </w:p>
        </w:tc>
      </w:tr>
      <w:tr w:rsidR="00110DAB" w:rsidRPr="00E03563" w:rsidTr="00177E32">
        <w:trPr>
          <w:trHeight w:val="231"/>
          <w:jc w:val="center"/>
        </w:trPr>
        <w:tc>
          <w:tcPr>
            <w:tcW w:w="1242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VI</w:t>
            </w:r>
          </w:p>
        </w:tc>
        <w:tc>
          <w:tcPr>
            <w:tcW w:w="1475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18.5</w:t>
            </w:r>
          </w:p>
        </w:tc>
        <w:tc>
          <w:tcPr>
            <w:tcW w:w="1121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60.0</w:t>
            </w:r>
          </w:p>
        </w:tc>
        <w:tc>
          <w:tcPr>
            <w:tcW w:w="1121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20.0</w:t>
            </w:r>
          </w:p>
        </w:tc>
        <w:tc>
          <w:tcPr>
            <w:tcW w:w="1121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20.0</w:t>
            </w:r>
          </w:p>
        </w:tc>
        <w:tc>
          <w:tcPr>
            <w:tcW w:w="1121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0.0</w:t>
            </w:r>
          </w:p>
        </w:tc>
        <w:tc>
          <w:tcPr>
            <w:tcW w:w="1122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0.0</w:t>
            </w:r>
          </w:p>
        </w:tc>
      </w:tr>
      <w:tr w:rsidR="00110DAB" w:rsidRPr="00E03563" w:rsidTr="00177E32">
        <w:trPr>
          <w:trHeight w:val="278"/>
          <w:jc w:val="center"/>
        </w:trPr>
        <w:tc>
          <w:tcPr>
            <w:tcW w:w="8323" w:type="dxa"/>
            <w:gridSpan w:val="7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cv. ‘China’,</w:t>
            </w:r>
            <w:r w:rsidRPr="00E03563">
              <w:rPr>
                <w:rFonts w:ascii="Times New Roman" w:hAnsi="Times New Roman"/>
                <w:bCs/>
                <w:sz w:val="24"/>
                <w:szCs w:val="24"/>
              </w:rPr>
              <w:t xml:space="preserve"> May 2017</w:t>
            </w:r>
          </w:p>
        </w:tc>
      </w:tr>
      <w:tr w:rsidR="00110DAB" w:rsidRPr="00E03563" w:rsidTr="00177E32">
        <w:trPr>
          <w:trHeight w:val="268"/>
          <w:jc w:val="center"/>
        </w:trPr>
        <w:tc>
          <w:tcPr>
            <w:tcW w:w="1242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I</w:t>
            </w:r>
          </w:p>
        </w:tc>
        <w:tc>
          <w:tcPr>
            <w:tcW w:w="1475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37.5</w:t>
            </w:r>
          </w:p>
        </w:tc>
        <w:tc>
          <w:tcPr>
            <w:tcW w:w="1121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83.3</w:t>
            </w:r>
          </w:p>
        </w:tc>
        <w:tc>
          <w:tcPr>
            <w:tcW w:w="1121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16.7</w:t>
            </w:r>
          </w:p>
        </w:tc>
        <w:tc>
          <w:tcPr>
            <w:tcW w:w="1121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0.0</w:t>
            </w:r>
          </w:p>
        </w:tc>
        <w:tc>
          <w:tcPr>
            <w:tcW w:w="1121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0.0</w:t>
            </w:r>
          </w:p>
        </w:tc>
        <w:tc>
          <w:tcPr>
            <w:tcW w:w="1122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0.0</w:t>
            </w:r>
          </w:p>
        </w:tc>
      </w:tr>
      <w:tr w:rsidR="00110DAB" w:rsidRPr="00E03563" w:rsidTr="00177E32">
        <w:trPr>
          <w:trHeight w:val="259"/>
          <w:jc w:val="center"/>
        </w:trPr>
        <w:tc>
          <w:tcPr>
            <w:tcW w:w="1242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II</w:t>
            </w:r>
          </w:p>
        </w:tc>
        <w:tc>
          <w:tcPr>
            <w:tcW w:w="1475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23.8</w:t>
            </w:r>
          </w:p>
        </w:tc>
        <w:tc>
          <w:tcPr>
            <w:tcW w:w="1121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70.0</w:t>
            </w:r>
          </w:p>
        </w:tc>
        <w:tc>
          <w:tcPr>
            <w:tcW w:w="1121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30.0</w:t>
            </w:r>
          </w:p>
        </w:tc>
        <w:tc>
          <w:tcPr>
            <w:tcW w:w="1121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0.0</w:t>
            </w:r>
          </w:p>
        </w:tc>
        <w:tc>
          <w:tcPr>
            <w:tcW w:w="1121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0.0</w:t>
            </w:r>
          </w:p>
        </w:tc>
        <w:tc>
          <w:tcPr>
            <w:tcW w:w="1122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0.0</w:t>
            </w:r>
          </w:p>
        </w:tc>
      </w:tr>
      <w:tr w:rsidR="00110DAB" w:rsidRPr="00E03563" w:rsidTr="00177E32">
        <w:trPr>
          <w:trHeight w:val="262"/>
          <w:jc w:val="center"/>
        </w:trPr>
        <w:tc>
          <w:tcPr>
            <w:tcW w:w="1242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III</w:t>
            </w:r>
          </w:p>
        </w:tc>
        <w:tc>
          <w:tcPr>
            <w:tcW w:w="1475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31.6</w:t>
            </w:r>
          </w:p>
        </w:tc>
        <w:tc>
          <w:tcPr>
            <w:tcW w:w="1121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75.0</w:t>
            </w:r>
          </w:p>
        </w:tc>
        <w:tc>
          <w:tcPr>
            <w:tcW w:w="1121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16.7</w:t>
            </w:r>
          </w:p>
        </w:tc>
        <w:tc>
          <w:tcPr>
            <w:tcW w:w="1121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8.3</w:t>
            </w:r>
          </w:p>
        </w:tc>
        <w:tc>
          <w:tcPr>
            <w:tcW w:w="1121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0.0</w:t>
            </w:r>
          </w:p>
        </w:tc>
        <w:tc>
          <w:tcPr>
            <w:tcW w:w="1122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0.0</w:t>
            </w:r>
          </w:p>
        </w:tc>
      </w:tr>
      <w:tr w:rsidR="00110DAB" w:rsidRPr="00E03563" w:rsidTr="00177E32">
        <w:trPr>
          <w:trHeight w:val="281"/>
          <w:jc w:val="center"/>
        </w:trPr>
        <w:tc>
          <w:tcPr>
            <w:tcW w:w="1242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IV</w:t>
            </w:r>
          </w:p>
        </w:tc>
        <w:tc>
          <w:tcPr>
            <w:tcW w:w="1475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47.6</w:t>
            </w:r>
          </w:p>
        </w:tc>
        <w:tc>
          <w:tcPr>
            <w:tcW w:w="1121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90.0</w:t>
            </w:r>
          </w:p>
        </w:tc>
        <w:tc>
          <w:tcPr>
            <w:tcW w:w="1121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5.0</w:t>
            </w:r>
          </w:p>
        </w:tc>
        <w:tc>
          <w:tcPr>
            <w:tcW w:w="1121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5.0</w:t>
            </w:r>
          </w:p>
        </w:tc>
        <w:tc>
          <w:tcPr>
            <w:tcW w:w="1121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0.0</w:t>
            </w:r>
          </w:p>
        </w:tc>
        <w:tc>
          <w:tcPr>
            <w:tcW w:w="1122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0.0</w:t>
            </w:r>
          </w:p>
        </w:tc>
      </w:tr>
      <w:tr w:rsidR="00110DAB" w:rsidRPr="00E03563" w:rsidTr="00177E32">
        <w:trPr>
          <w:trHeight w:val="271"/>
          <w:jc w:val="center"/>
        </w:trPr>
        <w:tc>
          <w:tcPr>
            <w:tcW w:w="1242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V</w:t>
            </w:r>
          </w:p>
        </w:tc>
        <w:tc>
          <w:tcPr>
            <w:tcW w:w="1475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31.4</w:t>
            </w:r>
          </w:p>
        </w:tc>
        <w:tc>
          <w:tcPr>
            <w:tcW w:w="1121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75.0</w:t>
            </w:r>
          </w:p>
        </w:tc>
        <w:tc>
          <w:tcPr>
            <w:tcW w:w="1121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12.5</w:t>
            </w:r>
          </w:p>
        </w:tc>
        <w:tc>
          <w:tcPr>
            <w:tcW w:w="1121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12.5</w:t>
            </w:r>
          </w:p>
        </w:tc>
        <w:tc>
          <w:tcPr>
            <w:tcW w:w="1121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0.0</w:t>
            </w:r>
          </w:p>
        </w:tc>
        <w:tc>
          <w:tcPr>
            <w:tcW w:w="1122" w:type="dxa"/>
            <w:hideMark/>
          </w:tcPr>
          <w:p w:rsidR="00110DAB" w:rsidRPr="00E03563" w:rsidRDefault="00110DAB" w:rsidP="00177E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563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0.0</w:t>
            </w:r>
          </w:p>
        </w:tc>
      </w:tr>
    </w:tbl>
    <w:p w:rsidR="00110DAB" w:rsidRPr="00E03563" w:rsidRDefault="00110DAB" w:rsidP="00110DAB">
      <w:pPr>
        <w:rPr>
          <w:rFonts w:ascii="Times New Roman" w:hAnsi="Times New Roman"/>
          <w:sz w:val="24"/>
          <w:szCs w:val="24"/>
        </w:rPr>
      </w:pPr>
      <w:r w:rsidRPr="00E03563">
        <w:rPr>
          <w:rFonts w:ascii="Times New Roman" w:hAnsi="Times New Roman"/>
          <w:sz w:val="24"/>
          <w:szCs w:val="24"/>
        </w:rPr>
        <w:t>*Values in the table are based on observations taken on all the trees (n = 60-78) of the orchard.</w:t>
      </w:r>
    </w:p>
    <w:p w:rsidR="00110DAB" w:rsidRPr="00E03563" w:rsidRDefault="00110DAB" w:rsidP="00110DAB">
      <w:pPr>
        <w:rPr>
          <w:rFonts w:ascii="Times New Roman" w:hAnsi="Times New Roman"/>
          <w:sz w:val="24"/>
          <w:szCs w:val="24"/>
        </w:rPr>
      </w:pPr>
    </w:p>
    <w:p w:rsidR="00110DAB" w:rsidRPr="00E03563" w:rsidRDefault="00110DAB" w:rsidP="00110DA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IN" w:eastAsia="en-IN" w:bidi="hi-IN"/>
        </w:rPr>
        <w:drawing>
          <wp:inline distT="0" distB="0" distL="0" distR="0">
            <wp:extent cx="4095750" cy="2371725"/>
            <wp:effectExtent l="19050" t="0" r="0" b="0"/>
            <wp:docPr id="2" name="Char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2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DAB" w:rsidRPr="00E03563" w:rsidRDefault="00110DAB" w:rsidP="00110DA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IN" w:eastAsia="en-IN" w:bidi="hi-IN"/>
        </w:rPr>
        <w:drawing>
          <wp:inline distT="0" distB="0" distL="0" distR="0">
            <wp:extent cx="4076700" cy="2457450"/>
            <wp:effectExtent l="19050" t="0" r="0" b="0"/>
            <wp:docPr id="3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3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DAB" w:rsidRPr="00E03563" w:rsidRDefault="00110DAB" w:rsidP="00110DAB">
      <w:pPr>
        <w:ind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03563">
        <w:rPr>
          <w:rFonts w:ascii="Times New Roman" w:hAnsi="Times New Roman"/>
          <w:sz w:val="24"/>
          <w:szCs w:val="24"/>
        </w:rPr>
        <w:lastRenderedPageBreak/>
        <w:t>Fig. 2.</w:t>
      </w:r>
      <w:proofErr w:type="gramEnd"/>
      <w:r w:rsidRPr="00E03563">
        <w:rPr>
          <w:rFonts w:ascii="Times New Roman" w:hAnsi="Times New Roman"/>
          <w:sz w:val="24"/>
          <w:szCs w:val="24"/>
        </w:rPr>
        <w:t xml:space="preserve"> Percentage distribution of trees in various severity categories of panicle blight during 2017 season; data presented is the average value of 6 and 5 orchard  of cv. ‘</w:t>
      </w:r>
      <w:proofErr w:type="spellStart"/>
      <w:r w:rsidRPr="00E03563">
        <w:rPr>
          <w:rFonts w:ascii="Times New Roman" w:hAnsi="Times New Roman"/>
          <w:sz w:val="24"/>
          <w:szCs w:val="24"/>
        </w:rPr>
        <w:t>Shahi</w:t>
      </w:r>
      <w:proofErr w:type="spellEnd"/>
      <w:r w:rsidRPr="00E03563">
        <w:rPr>
          <w:rFonts w:ascii="Times New Roman" w:hAnsi="Times New Roman"/>
          <w:sz w:val="24"/>
          <w:szCs w:val="24"/>
        </w:rPr>
        <w:t xml:space="preserve">’ and ‘China’, respectively </w:t>
      </w:r>
    </w:p>
    <w:p w:rsidR="00110DAB" w:rsidRPr="00E03563" w:rsidRDefault="00110DAB" w:rsidP="00110DAB">
      <w:pPr>
        <w:jc w:val="center"/>
        <w:rPr>
          <w:rFonts w:ascii="Times New Roman" w:hAnsi="Times New Roman"/>
          <w:sz w:val="24"/>
          <w:szCs w:val="24"/>
        </w:rPr>
      </w:pPr>
    </w:p>
    <w:p w:rsidR="00110DAB" w:rsidRPr="00E03563" w:rsidRDefault="00110DAB" w:rsidP="00110DAB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IN" w:eastAsia="en-IN" w:bidi="hi-IN"/>
        </w:rPr>
        <w:drawing>
          <wp:inline distT="0" distB="0" distL="0" distR="0">
            <wp:extent cx="5505450" cy="3409950"/>
            <wp:effectExtent l="1905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DAB" w:rsidRDefault="00110DAB" w:rsidP="00110DAB">
      <w:pPr>
        <w:spacing w:before="120" w:after="120"/>
        <w:ind w:firstLine="0"/>
        <w:jc w:val="both"/>
        <w:rPr>
          <w:rFonts w:ascii="Times New Roman" w:hAnsi="Times New Roman"/>
          <w:sz w:val="24"/>
          <w:szCs w:val="24"/>
          <w:lang w:val="en-GB"/>
        </w:rPr>
      </w:pPr>
      <w:proofErr w:type="gramStart"/>
      <w:r w:rsidRPr="00E03563">
        <w:rPr>
          <w:rFonts w:ascii="Times New Roman" w:hAnsi="Times New Roman"/>
          <w:sz w:val="24"/>
          <w:szCs w:val="24"/>
          <w:lang w:val="en-GB"/>
        </w:rPr>
        <w:t>Fig. 3.</w:t>
      </w:r>
      <w:proofErr w:type="gramEnd"/>
      <w:r w:rsidRPr="00E03563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r w:rsidRPr="00E03563">
        <w:rPr>
          <w:rFonts w:ascii="Times New Roman" w:hAnsi="Times New Roman"/>
          <w:sz w:val="24"/>
          <w:szCs w:val="24"/>
          <w:lang w:val="en-GB"/>
        </w:rPr>
        <w:t xml:space="preserve">Incidence of fruit blight disease during 2017 seasons recorded in June month on litchi cv. ‘China’ </w:t>
      </w:r>
      <w:r w:rsidRPr="00E03563">
        <w:rPr>
          <w:rFonts w:ascii="Times New Roman" w:hAnsi="Times New Roman"/>
          <w:sz w:val="24"/>
          <w:szCs w:val="24"/>
        </w:rPr>
        <w:t xml:space="preserve">on trees in farmers’ orchard in </w:t>
      </w:r>
      <w:proofErr w:type="spellStart"/>
      <w:r w:rsidRPr="00E03563">
        <w:rPr>
          <w:rFonts w:ascii="Times New Roman" w:hAnsi="Times New Roman"/>
          <w:sz w:val="24"/>
          <w:szCs w:val="24"/>
        </w:rPr>
        <w:t>Muzaffarpur</w:t>
      </w:r>
      <w:proofErr w:type="spellEnd"/>
      <w:r w:rsidRPr="00E03563">
        <w:rPr>
          <w:rFonts w:ascii="Times New Roman" w:hAnsi="Times New Roman"/>
          <w:sz w:val="24"/>
          <w:szCs w:val="24"/>
        </w:rPr>
        <w:t>, Bihar</w:t>
      </w:r>
      <w:r w:rsidRPr="00E03563">
        <w:rPr>
          <w:rFonts w:ascii="Times New Roman" w:hAnsi="Times New Roman"/>
          <w:sz w:val="24"/>
          <w:szCs w:val="24"/>
          <w:lang w:val="en-GB"/>
        </w:rPr>
        <w:t>. Height of columns indicates the mean disease incidence, whereas the value above bars indicates the range in samples; the vertical bar indicates standard error (SE) of the mean. The least significant difference (LSD)</w:t>
      </w:r>
      <w:r w:rsidRPr="00E03563">
        <w:rPr>
          <w:rFonts w:ascii="Times New Roman" w:hAnsi="Times New Roman"/>
          <w:sz w:val="24"/>
          <w:szCs w:val="24"/>
        </w:rPr>
        <w:t xml:space="preserve"> at </w:t>
      </w:r>
      <w:r w:rsidRPr="00E03563">
        <w:rPr>
          <w:rFonts w:ascii="Times New Roman" w:hAnsi="Times New Roman"/>
          <w:i/>
          <w:iCs/>
          <w:sz w:val="24"/>
          <w:szCs w:val="24"/>
        </w:rPr>
        <w:t>P=</w:t>
      </w:r>
      <w:r w:rsidRPr="00E03563">
        <w:rPr>
          <w:rFonts w:ascii="Times New Roman" w:hAnsi="Times New Roman"/>
          <w:sz w:val="24"/>
          <w:szCs w:val="24"/>
        </w:rPr>
        <w:t>0.05</w:t>
      </w:r>
      <w:r w:rsidRPr="00E03563">
        <w:rPr>
          <w:rFonts w:ascii="Times New Roman" w:hAnsi="Times New Roman"/>
          <w:sz w:val="24"/>
          <w:szCs w:val="24"/>
          <w:lang w:val="en-GB"/>
        </w:rPr>
        <w:t xml:space="preserve"> for disease incidence is 1.06.</w:t>
      </w:r>
    </w:p>
    <w:p w:rsidR="00094BFE" w:rsidRDefault="00E84524"/>
    <w:sectPr w:rsidR="00094BFE" w:rsidSect="00B110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C0419"/>
    <w:multiLevelType w:val="hybridMultilevel"/>
    <w:tmpl w:val="086EABC4"/>
    <w:lvl w:ilvl="0" w:tplc="240E75DE">
      <w:start w:val="1"/>
      <w:numFmt w:val="decimal"/>
      <w:lvlText w:val="%1."/>
      <w:lvlJc w:val="left"/>
      <w:pPr>
        <w:ind w:left="1080" w:hanging="360"/>
      </w:pPr>
      <w:rPr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0DAB"/>
    <w:rsid w:val="00110DAB"/>
    <w:rsid w:val="00AB1CAF"/>
    <w:rsid w:val="00B11047"/>
    <w:rsid w:val="00E84524"/>
    <w:rsid w:val="00E8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DAB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DAB"/>
    <w:pPr>
      <w:ind w:left="720" w:firstLine="0"/>
    </w:pPr>
    <w:rPr>
      <w:rFonts w:ascii="Times New Roman" w:hAnsi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D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DAB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286</Words>
  <Characters>1635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Kumar</dc:creator>
  <cp:lastModifiedBy>Kumar</cp:lastModifiedBy>
  <cp:revision>2</cp:revision>
  <dcterms:created xsi:type="dcterms:W3CDTF">2019-12-03T09:21:00Z</dcterms:created>
  <dcterms:modified xsi:type="dcterms:W3CDTF">2019-12-03T09:23:00Z</dcterms:modified>
</cp:coreProperties>
</file>