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A4" w:rsidRPr="00421DE7" w:rsidRDefault="00A11AA4" w:rsidP="00A11AA4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DE7">
        <w:rPr>
          <w:rFonts w:ascii="Times New Roman" w:hAnsi="Times New Roman" w:cs="Times New Roman"/>
          <w:b/>
          <w:sz w:val="24"/>
          <w:szCs w:val="24"/>
        </w:rPr>
        <w:t xml:space="preserve">Epidemiology and biochemical basis for resistance of cultivars against </w:t>
      </w:r>
      <w:proofErr w:type="spellStart"/>
      <w:r w:rsidRPr="00421DE7">
        <w:rPr>
          <w:rFonts w:ascii="Times New Roman" w:hAnsi="Times New Roman" w:cs="Times New Roman"/>
          <w:b/>
          <w:i/>
          <w:sz w:val="24"/>
          <w:szCs w:val="24"/>
        </w:rPr>
        <w:t>Alternaria</w:t>
      </w:r>
      <w:proofErr w:type="spellEnd"/>
      <w:r w:rsidRPr="00421DE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A11AA4" w:rsidRPr="00421DE7" w:rsidRDefault="00A11AA4" w:rsidP="00A11AA4">
      <w:pPr>
        <w:spacing w:line="360" w:lineRule="auto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421DE7">
        <w:rPr>
          <w:rFonts w:ascii="Times New Roman" w:hAnsi="Times New Roman" w:cs="Times New Roman"/>
          <w:sz w:val="24"/>
          <w:szCs w:val="24"/>
        </w:rPr>
        <w:t>In induced systemic disease resistance, in Morden (</w:t>
      </w:r>
      <w:proofErr w:type="spellStart"/>
      <w:r w:rsidRPr="00421DE7">
        <w:rPr>
          <w:rFonts w:ascii="Times New Roman" w:hAnsi="Times New Roman" w:cs="Times New Roman"/>
          <w:sz w:val="24"/>
          <w:szCs w:val="24"/>
        </w:rPr>
        <w:t>Susc</w:t>
      </w:r>
      <w:proofErr w:type="spellEnd"/>
      <w:r w:rsidRPr="00421DE7">
        <w:rPr>
          <w:rFonts w:ascii="Times New Roman" w:hAnsi="Times New Roman" w:cs="Times New Roman"/>
          <w:sz w:val="24"/>
          <w:szCs w:val="24"/>
        </w:rPr>
        <w:t xml:space="preserve">.) the activity of </w:t>
      </w:r>
      <w:proofErr w:type="spellStart"/>
      <w:r w:rsidRPr="00421DE7">
        <w:rPr>
          <w:rFonts w:ascii="Times New Roman" w:hAnsi="Times New Roman" w:cs="Times New Roman"/>
          <w:sz w:val="24"/>
          <w:szCs w:val="24"/>
        </w:rPr>
        <w:t>peroxidases</w:t>
      </w:r>
      <w:proofErr w:type="spellEnd"/>
      <w:r w:rsidRPr="00421DE7">
        <w:rPr>
          <w:rFonts w:ascii="Times New Roman" w:hAnsi="Times New Roman" w:cs="Times New Roman"/>
          <w:sz w:val="24"/>
          <w:szCs w:val="24"/>
        </w:rPr>
        <w:t xml:space="preserve">, poly phenols increased with application of inducers while in DRSH-1, TX 16 R (Moderately resistant) there was slight increase in enzyme activity. More release of </w:t>
      </w:r>
      <w:proofErr w:type="spellStart"/>
      <w:r w:rsidRPr="00421DE7">
        <w:rPr>
          <w:rFonts w:ascii="Times New Roman" w:hAnsi="Times New Roman" w:cs="Times New Roman"/>
          <w:sz w:val="24"/>
          <w:szCs w:val="24"/>
        </w:rPr>
        <w:t>polyphenols</w:t>
      </w:r>
      <w:proofErr w:type="spellEnd"/>
      <w:r w:rsidRPr="00421DE7">
        <w:rPr>
          <w:rFonts w:ascii="Times New Roman" w:hAnsi="Times New Roman" w:cs="Times New Roman"/>
          <w:sz w:val="24"/>
          <w:szCs w:val="24"/>
        </w:rPr>
        <w:t xml:space="preserve"> observed with Alpha amino butyric acid (AABA) however release of </w:t>
      </w:r>
      <w:proofErr w:type="spellStart"/>
      <w:r w:rsidRPr="00421DE7">
        <w:rPr>
          <w:rFonts w:ascii="Times New Roman" w:hAnsi="Times New Roman" w:cs="Times New Roman"/>
          <w:sz w:val="24"/>
          <w:szCs w:val="24"/>
        </w:rPr>
        <w:t>peroxidases</w:t>
      </w:r>
      <w:proofErr w:type="spellEnd"/>
      <w:r w:rsidRPr="00421DE7">
        <w:rPr>
          <w:rFonts w:ascii="Times New Roman" w:hAnsi="Times New Roman" w:cs="Times New Roman"/>
          <w:sz w:val="24"/>
          <w:szCs w:val="24"/>
        </w:rPr>
        <w:t xml:space="preserve"> high with Gama amino butyric acid (GABA). Release of total sugars was more with GABA. </w:t>
      </w:r>
      <w:r w:rsidRPr="00421DE7">
        <w:rPr>
          <w:rFonts w:ascii="Times New Roman" w:hAnsi="Times New Roman" w:cs="Times New Roman"/>
          <w:bCs/>
          <w:noProof/>
          <w:sz w:val="24"/>
          <w:szCs w:val="24"/>
        </w:rPr>
        <w:t>In morden (susceptible) trichome number was less, simple and unsegmented with simple stomatal appearance (Fig.6). In DRSH-1 trichome number was more, segmented and  curved stomata.</w:t>
      </w:r>
    </w:p>
    <w:p w:rsidR="00A11AA4" w:rsidRPr="00421DE7" w:rsidRDefault="00A11AA4" w:rsidP="00A11AA4">
      <w:pPr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A11AA4" w:rsidRPr="00421DE7" w:rsidRDefault="00A11AA4" w:rsidP="00A11AA4">
      <w:pPr>
        <w:rPr>
          <w:rFonts w:ascii="Times New Roman" w:hAnsi="Times New Roman" w:cs="Times New Roman"/>
          <w:b/>
          <w:sz w:val="24"/>
          <w:szCs w:val="24"/>
        </w:rPr>
      </w:pPr>
      <w:r w:rsidRPr="00421DE7">
        <w:rPr>
          <w:rFonts w:ascii="Times New Roman" w:hAnsi="Times New Roman" w:cs="Times New Roman"/>
          <w:noProof/>
          <w:sz w:val="24"/>
          <w:szCs w:val="24"/>
          <w:lang w:val="en-US" w:bidi="te-IN"/>
        </w:rPr>
        <w:drawing>
          <wp:inline distT="0" distB="0" distL="0" distR="0">
            <wp:extent cx="5951464" cy="1899138"/>
            <wp:effectExtent l="19050" t="0" r="0" b="0"/>
            <wp:docPr id="26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 b="-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1900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AA4" w:rsidRPr="00421DE7" w:rsidRDefault="00A11AA4" w:rsidP="00A11AA4">
      <w:pPr>
        <w:rPr>
          <w:rFonts w:ascii="Times New Roman" w:hAnsi="Times New Roman" w:cs="Times New Roman"/>
          <w:b/>
          <w:sz w:val="24"/>
          <w:szCs w:val="24"/>
        </w:rPr>
      </w:pPr>
    </w:p>
    <w:p w:rsidR="00A11AA4" w:rsidRPr="00421DE7" w:rsidRDefault="00A11AA4" w:rsidP="00A11AA4">
      <w:pPr>
        <w:rPr>
          <w:rFonts w:ascii="Times New Roman" w:hAnsi="Times New Roman" w:cs="Times New Roman"/>
          <w:noProof/>
          <w:sz w:val="24"/>
          <w:szCs w:val="24"/>
        </w:rPr>
      </w:pPr>
      <w:r w:rsidRPr="00421DE7">
        <w:rPr>
          <w:rFonts w:ascii="Times New Roman" w:hAnsi="Times New Roman" w:cs="Times New Roman"/>
          <w:sz w:val="24"/>
          <w:szCs w:val="24"/>
        </w:rPr>
        <w:t>Fig.:</w:t>
      </w:r>
      <w:r w:rsidRPr="00421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DE7">
        <w:rPr>
          <w:rFonts w:ascii="Times New Roman" w:hAnsi="Times New Roman" w:cs="Times New Roman"/>
          <w:sz w:val="24"/>
          <w:szCs w:val="24"/>
        </w:rPr>
        <w:t>Conidia on leaf surface</w:t>
      </w:r>
      <w:r w:rsidRPr="00421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DE7">
        <w:rPr>
          <w:rFonts w:ascii="Times New Roman" w:hAnsi="Times New Roman" w:cs="Times New Roman"/>
          <w:noProof/>
          <w:sz w:val="24"/>
          <w:szCs w:val="24"/>
        </w:rPr>
        <w:t>after spraying of inoculum. A and B- DRSH-1. C- Morden.Arrow shows conidia in SEM</w:t>
      </w:r>
    </w:p>
    <w:p w:rsidR="00A11AA4" w:rsidRPr="00AC55DA" w:rsidRDefault="00A11AA4" w:rsidP="00A11AA4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AC55DA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Activity 2.2.</w:t>
      </w:r>
      <w:proofErr w:type="gramEnd"/>
      <w:r w:rsidRPr="00AC55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Biochemical basis </w:t>
      </w:r>
      <w:proofErr w:type="gramStart"/>
      <w:r w:rsidRPr="00AC55DA">
        <w:rPr>
          <w:rFonts w:ascii="Times New Roman" w:hAnsi="Times New Roman" w:cs="Times New Roman"/>
          <w:b/>
          <w:bCs/>
          <w:sz w:val="24"/>
          <w:szCs w:val="24"/>
          <w:lang w:val="en-US"/>
        </w:rPr>
        <w:t>of  differences</w:t>
      </w:r>
      <w:proofErr w:type="gramEnd"/>
      <w:r w:rsidRPr="00AC55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M. resistant and susceptible  genotypes  for A.</w:t>
      </w:r>
      <w:r w:rsidRPr="00AC55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C55D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helianthi</w:t>
      </w:r>
      <w:proofErr w:type="spellEnd"/>
      <w:r w:rsidRPr="00AC55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A11AA4" w:rsidRPr="0031425A" w:rsidRDefault="00A11AA4" w:rsidP="00A11AA4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1D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Secondary metabolite profiling of </w:t>
      </w:r>
      <w:proofErr w:type="spellStart"/>
      <w:r w:rsidRPr="00421DE7">
        <w:rPr>
          <w:rFonts w:ascii="Times New Roman" w:hAnsi="Times New Roman" w:cs="Times New Roman"/>
          <w:b/>
          <w:i/>
          <w:color w:val="000000"/>
          <w:sz w:val="24"/>
          <w:szCs w:val="24"/>
        </w:rPr>
        <w:t>Alternariaster</w:t>
      </w:r>
      <w:proofErr w:type="spellEnd"/>
      <w:r w:rsidRPr="00421DE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421DE7">
        <w:rPr>
          <w:rFonts w:ascii="Times New Roman" w:hAnsi="Times New Roman" w:cs="Times New Roman"/>
          <w:b/>
          <w:i/>
          <w:color w:val="000000"/>
          <w:sz w:val="24"/>
          <w:szCs w:val="24"/>
        </w:rPr>
        <w:t>helianthi</w:t>
      </w:r>
      <w:proofErr w:type="spellEnd"/>
      <w:r w:rsidRPr="00421D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of sunflower: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1DE7">
        <w:rPr>
          <w:rFonts w:ascii="Times New Roman" w:hAnsi="Times New Roman" w:cs="Times New Roman"/>
          <w:color w:val="000000"/>
          <w:sz w:val="24"/>
          <w:szCs w:val="24"/>
        </w:rPr>
        <w:t>Nine isolates of</w:t>
      </w:r>
      <w:r w:rsidRPr="00421D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A. </w:t>
      </w:r>
      <w:proofErr w:type="spellStart"/>
      <w:r w:rsidRPr="00421DE7">
        <w:rPr>
          <w:rFonts w:ascii="Times New Roman" w:hAnsi="Times New Roman" w:cs="Times New Roman"/>
          <w:i/>
          <w:color w:val="000000"/>
          <w:sz w:val="24"/>
          <w:szCs w:val="24"/>
        </w:rPr>
        <w:t>helianthi</w:t>
      </w:r>
      <w:proofErr w:type="spellEnd"/>
      <w:r w:rsidRPr="00421D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421DE7">
        <w:rPr>
          <w:rFonts w:ascii="Times New Roman" w:hAnsi="Times New Roman" w:cs="Times New Roman"/>
          <w:color w:val="000000"/>
          <w:sz w:val="24"/>
          <w:szCs w:val="24"/>
        </w:rPr>
        <w:t xml:space="preserve">causal agent of sunflower leaf blight collected from different sunflower growing states were selected based on pathogenic variability studies as three groups </w:t>
      </w:r>
      <w:proofErr w:type="spellStart"/>
      <w:r w:rsidRPr="00421DE7">
        <w:rPr>
          <w:rFonts w:ascii="Times New Roman" w:hAnsi="Times New Roman" w:cs="Times New Roman"/>
          <w:i/>
          <w:color w:val="000000"/>
          <w:sz w:val="24"/>
          <w:szCs w:val="24"/>
        </w:rPr>
        <w:t>ie</w:t>
      </w:r>
      <w:proofErr w:type="spellEnd"/>
      <w:r w:rsidRPr="00421D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21DE7">
        <w:rPr>
          <w:rFonts w:ascii="Times New Roman" w:hAnsi="Times New Roman" w:cs="Times New Roman"/>
          <w:color w:val="000000"/>
          <w:sz w:val="24"/>
          <w:szCs w:val="24"/>
        </w:rPr>
        <w:t xml:space="preserve">highly virulent, moderately virulent, less virulent and these were used for secondary metabolite analysis. The secondary metabolite profiling has shown difference with in the isolates, three less virulent isolates </w:t>
      </w:r>
      <w:proofErr w:type="spellStart"/>
      <w:r w:rsidRPr="00421DE7">
        <w:rPr>
          <w:rFonts w:ascii="Times New Roman" w:hAnsi="Times New Roman" w:cs="Times New Roman"/>
          <w:i/>
          <w:color w:val="000000"/>
          <w:sz w:val="24"/>
          <w:szCs w:val="24"/>
        </w:rPr>
        <w:t>ie</w:t>
      </w:r>
      <w:proofErr w:type="spellEnd"/>
      <w:r w:rsidRPr="00421D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DE7">
        <w:rPr>
          <w:rFonts w:ascii="Times New Roman" w:hAnsi="Times New Roman" w:cs="Times New Roman"/>
          <w:i/>
          <w:color w:val="000000"/>
          <w:sz w:val="24"/>
          <w:szCs w:val="24"/>
        </w:rPr>
        <w:t>Ah</w:t>
      </w:r>
      <w:r w:rsidRPr="00421DE7">
        <w:rPr>
          <w:rFonts w:ascii="Times New Roman" w:hAnsi="Times New Roman" w:cs="Times New Roman"/>
          <w:color w:val="000000"/>
          <w:sz w:val="24"/>
          <w:szCs w:val="24"/>
        </w:rPr>
        <w:t xml:space="preserve"> 92, </w:t>
      </w:r>
      <w:r w:rsidRPr="00421DE7">
        <w:rPr>
          <w:rFonts w:ascii="Times New Roman" w:hAnsi="Times New Roman" w:cs="Times New Roman"/>
          <w:i/>
          <w:color w:val="000000"/>
          <w:sz w:val="24"/>
          <w:szCs w:val="24"/>
        </w:rPr>
        <w:t>Ah</w:t>
      </w:r>
      <w:r w:rsidRPr="00421DE7">
        <w:rPr>
          <w:rFonts w:ascii="Times New Roman" w:hAnsi="Times New Roman" w:cs="Times New Roman"/>
          <w:color w:val="000000"/>
          <w:sz w:val="24"/>
          <w:szCs w:val="24"/>
        </w:rPr>
        <w:t xml:space="preserve"> 160, </w:t>
      </w:r>
      <w:r w:rsidRPr="00421D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Ah </w:t>
      </w:r>
      <w:r w:rsidRPr="00421DE7">
        <w:rPr>
          <w:rFonts w:ascii="Times New Roman" w:hAnsi="Times New Roman" w:cs="Times New Roman"/>
          <w:color w:val="000000"/>
          <w:sz w:val="24"/>
          <w:szCs w:val="24"/>
        </w:rPr>
        <w:t>158 has different metabolite pattern. However the isolates under highly virulent (</w:t>
      </w:r>
      <w:r w:rsidRPr="00421DE7">
        <w:rPr>
          <w:rFonts w:ascii="Times New Roman" w:hAnsi="Times New Roman" w:cs="Times New Roman"/>
          <w:i/>
          <w:color w:val="000000"/>
          <w:sz w:val="24"/>
          <w:szCs w:val="24"/>
        </w:rPr>
        <w:t>Ah</w:t>
      </w:r>
      <w:r w:rsidRPr="00421DE7">
        <w:rPr>
          <w:rFonts w:ascii="Times New Roman" w:hAnsi="Times New Roman" w:cs="Times New Roman"/>
          <w:color w:val="000000"/>
          <w:sz w:val="24"/>
          <w:szCs w:val="24"/>
        </w:rPr>
        <w:t xml:space="preserve"> 18-patancheru, TS;</w:t>
      </w:r>
      <w:r w:rsidRPr="00421D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Ah</w:t>
      </w:r>
      <w:r w:rsidRPr="00421DE7">
        <w:rPr>
          <w:rFonts w:ascii="Times New Roman" w:hAnsi="Times New Roman" w:cs="Times New Roman"/>
          <w:color w:val="000000"/>
          <w:sz w:val="24"/>
          <w:szCs w:val="24"/>
        </w:rPr>
        <w:t xml:space="preserve"> 38 - </w:t>
      </w:r>
      <w:proofErr w:type="spellStart"/>
      <w:r w:rsidRPr="00421DE7">
        <w:rPr>
          <w:rFonts w:ascii="Times New Roman" w:hAnsi="Times New Roman" w:cs="Times New Roman"/>
          <w:color w:val="000000"/>
          <w:sz w:val="24"/>
          <w:szCs w:val="24"/>
        </w:rPr>
        <w:t>Mudhol</w:t>
      </w:r>
      <w:proofErr w:type="spellEnd"/>
      <w:r w:rsidRPr="00421DE7">
        <w:rPr>
          <w:rFonts w:ascii="Times New Roman" w:hAnsi="Times New Roman" w:cs="Times New Roman"/>
          <w:color w:val="000000"/>
          <w:sz w:val="24"/>
          <w:szCs w:val="24"/>
        </w:rPr>
        <w:t>, KA;</w:t>
      </w:r>
      <w:r w:rsidRPr="00421D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Ah</w:t>
      </w:r>
      <w:r w:rsidRPr="00421DE7">
        <w:rPr>
          <w:rFonts w:ascii="Times New Roman" w:hAnsi="Times New Roman" w:cs="Times New Roman"/>
          <w:color w:val="000000"/>
          <w:sz w:val="24"/>
          <w:szCs w:val="24"/>
        </w:rPr>
        <w:t xml:space="preserve"> 125-Jalna, MH) and moderately virulent (</w:t>
      </w:r>
      <w:r w:rsidRPr="00421DE7">
        <w:rPr>
          <w:rFonts w:ascii="Times New Roman" w:hAnsi="Times New Roman" w:cs="Times New Roman"/>
          <w:i/>
          <w:color w:val="000000"/>
          <w:sz w:val="24"/>
          <w:szCs w:val="24"/>
        </w:rPr>
        <w:t>Ah</w:t>
      </w:r>
      <w:r w:rsidRPr="00421DE7">
        <w:rPr>
          <w:rFonts w:ascii="Times New Roman" w:hAnsi="Times New Roman" w:cs="Times New Roman"/>
          <w:color w:val="000000"/>
          <w:sz w:val="24"/>
          <w:szCs w:val="24"/>
        </w:rPr>
        <w:t xml:space="preserve"> 157 - </w:t>
      </w:r>
      <w:proofErr w:type="spellStart"/>
      <w:r w:rsidRPr="00421DE7">
        <w:rPr>
          <w:rFonts w:ascii="Times New Roman" w:hAnsi="Times New Roman" w:cs="Times New Roman"/>
          <w:color w:val="000000"/>
          <w:sz w:val="24"/>
          <w:szCs w:val="24"/>
        </w:rPr>
        <w:t>Muzaffarpur</w:t>
      </w:r>
      <w:proofErr w:type="spellEnd"/>
      <w:r w:rsidRPr="00421DE7">
        <w:rPr>
          <w:rFonts w:ascii="Times New Roman" w:hAnsi="Times New Roman" w:cs="Times New Roman"/>
          <w:color w:val="000000"/>
          <w:sz w:val="24"/>
          <w:szCs w:val="24"/>
        </w:rPr>
        <w:t>, BR;</w:t>
      </w:r>
      <w:r w:rsidRPr="00421D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Ah</w:t>
      </w:r>
      <w:r w:rsidRPr="00421DE7">
        <w:rPr>
          <w:rFonts w:ascii="Times New Roman" w:hAnsi="Times New Roman" w:cs="Times New Roman"/>
          <w:color w:val="000000"/>
          <w:sz w:val="24"/>
          <w:szCs w:val="24"/>
        </w:rPr>
        <w:t xml:space="preserve"> 142-Sirapur, KA;</w:t>
      </w:r>
      <w:r w:rsidRPr="00421D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Ah </w:t>
      </w:r>
      <w:r w:rsidRPr="00421DE7">
        <w:rPr>
          <w:rFonts w:ascii="Times New Roman" w:hAnsi="Times New Roman" w:cs="Times New Roman"/>
          <w:color w:val="000000"/>
          <w:sz w:val="24"/>
          <w:szCs w:val="24"/>
        </w:rPr>
        <w:t xml:space="preserve">12-Narkhoda, TS) had identical </w:t>
      </w:r>
      <w:r w:rsidRPr="00421DE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banding. These results reveal that secondary metabolites of </w:t>
      </w:r>
      <w:r w:rsidRPr="00421D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A. </w:t>
      </w:r>
      <w:proofErr w:type="spellStart"/>
      <w:r w:rsidRPr="00421DE7">
        <w:rPr>
          <w:rFonts w:ascii="Times New Roman" w:hAnsi="Times New Roman" w:cs="Times New Roman"/>
          <w:i/>
          <w:color w:val="000000"/>
          <w:sz w:val="24"/>
          <w:szCs w:val="24"/>
        </w:rPr>
        <w:t>helianthi</w:t>
      </w:r>
      <w:proofErr w:type="spellEnd"/>
      <w:r w:rsidRPr="00421DE7">
        <w:rPr>
          <w:rFonts w:ascii="Times New Roman" w:hAnsi="Times New Roman" w:cs="Times New Roman"/>
          <w:color w:val="000000"/>
          <w:sz w:val="24"/>
          <w:szCs w:val="24"/>
        </w:rPr>
        <w:t xml:space="preserve"> have a definite role in </w:t>
      </w:r>
      <w:r w:rsidRPr="00421D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A. </w:t>
      </w:r>
      <w:proofErr w:type="spellStart"/>
      <w:r w:rsidRPr="00421D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helianthi</w:t>
      </w:r>
      <w:proofErr w:type="spellEnd"/>
      <w:r w:rsidRPr="00421D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21DE7">
        <w:rPr>
          <w:rFonts w:ascii="Times New Roman" w:hAnsi="Times New Roman" w:cs="Times New Roman"/>
          <w:color w:val="000000"/>
          <w:sz w:val="24"/>
          <w:szCs w:val="24"/>
        </w:rPr>
        <w:t>virulence and disease severity in leaf blight of sunflower.</w:t>
      </w:r>
      <w:r w:rsidRPr="00421DE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A11AA4" w:rsidRPr="00421DE7" w:rsidRDefault="00A11AA4" w:rsidP="00A11AA4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DE7">
        <w:rPr>
          <w:rFonts w:ascii="Times New Roman" w:hAnsi="Times New Roman" w:cs="Times New Roman"/>
          <w:color w:val="000000"/>
          <w:sz w:val="24"/>
          <w:szCs w:val="24"/>
        </w:rPr>
        <w:t xml:space="preserve">The above nine isolates were used for mycelium proteins analysis by electrophoresis (native and dissociated protein). The molecular weight of the native protein bands varied between 23.3 to 66 </w:t>
      </w:r>
      <w:proofErr w:type="spellStart"/>
      <w:r w:rsidRPr="00421DE7">
        <w:rPr>
          <w:rFonts w:ascii="Times New Roman" w:hAnsi="Times New Roman" w:cs="Times New Roman"/>
          <w:color w:val="000000"/>
          <w:sz w:val="24"/>
          <w:szCs w:val="24"/>
        </w:rPr>
        <w:t>KDa</w:t>
      </w:r>
      <w:proofErr w:type="spellEnd"/>
      <w:r w:rsidRPr="00421DE7">
        <w:rPr>
          <w:rFonts w:ascii="Times New Roman" w:hAnsi="Times New Roman" w:cs="Times New Roman"/>
          <w:color w:val="000000"/>
          <w:sz w:val="24"/>
          <w:szCs w:val="24"/>
        </w:rPr>
        <w:t xml:space="preserve">. SDS PAGE was performed for dissociated protein analysis and the molecular weight of the bands varied from 6.6 to 43 </w:t>
      </w:r>
      <w:proofErr w:type="spellStart"/>
      <w:r w:rsidRPr="00421DE7">
        <w:rPr>
          <w:rFonts w:ascii="Times New Roman" w:hAnsi="Times New Roman" w:cs="Times New Roman"/>
          <w:color w:val="000000"/>
          <w:sz w:val="24"/>
          <w:szCs w:val="24"/>
        </w:rPr>
        <w:t>KDa</w:t>
      </w:r>
      <w:proofErr w:type="spellEnd"/>
      <w:r w:rsidRPr="00421DE7">
        <w:rPr>
          <w:rFonts w:ascii="Times New Roman" w:hAnsi="Times New Roman" w:cs="Times New Roman"/>
          <w:color w:val="000000"/>
          <w:sz w:val="24"/>
          <w:szCs w:val="24"/>
        </w:rPr>
        <w:t>. Even though the difference was observed in the mycelium protein banding there was no significant variation between the isolates of highly, moderately and less virulent isolates.</w:t>
      </w:r>
    </w:p>
    <w:p w:rsidR="003813A4" w:rsidRDefault="00A11AA4" w:rsidP="00A11AA4">
      <w:r w:rsidRPr="00421DE7">
        <w:rPr>
          <w:rFonts w:ascii="Times New Roman" w:hAnsi="Times New Roman" w:cs="Times New Roman"/>
          <w:bCs/>
          <w:noProof/>
          <w:sz w:val="24"/>
          <w:szCs w:val="24"/>
        </w:rPr>
        <w:object w:dxaOrig="7183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4pt;height:267.45pt" o:ole="">
            <v:imagedata r:id="rId5" o:title=""/>
          </v:shape>
          <o:OLEObject Type="Embed" ProgID="PowerPoint.Slide.12" ShapeID="_x0000_i1025" DrawAspect="Content" ObjectID="_1557901765" r:id="rId6"/>
        </w:object>
      </w:r>
    </w:p>
    <w:sectPr w:rsidR="003813A4" w:rsidSect="00381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1AA4"/>
    <w:rsid w:val="003813A4"/>
    <w:rsid w:val="00A1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A4"/>
    <w:rPr>
      <w:lang w:val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AA4"/>
    <w:rPr>
      <w:rFonts w:ascii="Tahoma" w:hAnsi="Tahoma" w:cs="Tahoma"/>
      <w:sz w:val="16"/>
      <w:szCs w:val="16"/>
      <w:lang w:val="en-IN"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Office_PowerPoint_Slide1.sld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2017-06-02T04:13:00Z</dcterms:created>
  <dcterms:modified xsi:type="dcterms:W3CDTF">2017-06-02T04:13:00Z</dcterms:modified>
</cp:coreProperties>
</file>