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922" w:type="dxa"/>
        <w:tblInd w:w="392" w:type="dxa"/>
        <w:tblLayout w:type="fixed"/>
        <w:tblLook w:val="04A0"/>
      </w:tblPr>
      <w:tblGrid>
        <w:gridCol w:w="9922"/>
      </w:tblGrid>
      <w:tr w:rsidR="009D1F9E" w:rsidRPr="006B643A" w:rsidTr="001B2A50">
        <w:trPr>
          <w:trHeight w:val="710"/>
        </w:trPr>
        <w:tc>
          <w:tcPr>
            <w:tcW w:w="9922" w:type="dxa"/>
          </w:tcPr>
          <w:p w:rsidR="009D1F9E" w:rsidRPr="00AC55DA" w:rsidRDefault="009D1F9E" w:rsidP="001B2A50">
            <w:pPr>
              <w:spacing w:before="120" w:after="120"/>
              <w:rPr>
                <w:rFonts w:ascii="Times New Roman" w:hAnsi="Times New Roman" w:cs="Times New Roman"/>
                <w:b/>
                <w:bCs/>
                <w:sz w:val="24"/>
                <w:szCs w:val="24"/>
                <w:lang w:val="en-US"/>
              </w:rPr>
            </w:pPr>
            <w:r w:rsidRPr="00AC55DA">
              <w:rPr>
                <w:rFonts w:ascii="Times New Roman" w:hAnsi="Times New Roman" w:cs="Times New Roman"/>
                <w:b/>
                <w:bCs/>
                <w:sz w:val="24"/>
                <w:szCs w:val="24"/>
                <w:lang w:val="en-US"/>
              </w:rPr>
              <w:t>Activity 1.4 .Host range  of TSV and  Epidemiology  of SND</w:t>
            </w:r>
          </w:p>
          <w:p w:rsidR="009D1F9E" w:rsidRPr="005B6A8F" w:rsidRDefault="009D1F9E" w:rsidP="001B2A50">
            <w:pPr>
              <w:pStyle w:val="Heading8"/>
              <w:outlineLvl w:val="7"/>
              <w:rPr>
                <w:b/>
                <w:i w:val="0"/>
                <w:lang w:val="en-GB"/>
              </w:rPr>
            </w:pPr>
            <w:r w:rsidRPr="005B6A8F">
              <w:rPr>
                <w:b/>
                <w:i w:val="0"/>
                <w:lang w:val="en-GB"/>
              </w:rPr>
              <w:t>Host range and Epidemiology:</w:t>
            </w:r>
          </w:p>
          <w:p w:rsidR="009D1F9E" w:rsidRDefault="009D1F9E" w:rsidP="001B2A50">
            <w:pPr>
              <w:pStyle w:val="BodyText"/>
              <w:spacing w:line="360" w:lineRule="auto"/>
              <w:ind w:firstLine="720"/>
              <w:jc w:val="both"/>
              <w:rPr>
                <w:rFonts w:ascii="Times New Roman" w:hAnsi="Times New Roman" w:cs="Times New Roman"/>
                <w:bCs/>
                <w:sz w:val="24"/>
                <w:szCs w:val="24"/>
              </w:rPr>
            </w:pPr>
            <w:r w:rsidRPr="005B6A8F">
              <w:rPr>
                <w:rFonts w:ascii="Times New Roman" w:hAnsi="Times New Roman" w:cs="Times New Roman"/>
                <w:sz w:val="24"/>
                <w:szCs w:val="24"/>
              </w:rPr>
              <w:t xml:space="preserve">Through sap inoculation technique several crop plants, weeds were tested and found the virus had a very wide host range .Out of 32 plants of 17 families tested 21 plants of 11 families were found infective to the TSV . The important among the crop plants are - groundnut, cowpea, soybean, ridge gourd, bitter gourd, cluster bean, tomato, </w:t>
            </w:r>
            <w:proofErr w:type="spellStart"/>
            <w:r w:rsidRPr="005B6A8F">
              <w:rPr>
                <w:rFonts w:ascii="Times New Roman" w:hAnsi="Times New Roman" w:cs="Times New Roman"/>
                <w:sz w:val="24"/>
                <w:szCs w:val="24"/>
              </w:rPr>
              <w:t>amaranthus</w:t>
            </w:r>
            <w:proofErr w:type="spellEnd"/>
            <w:r w:rsidRPr="005B6A8F">
              <w:rPr>
                <w:rFonts w:ascii="Times New Roman" w:hAnsi="Times New Roman" w:cs="Times New Roman"/>
                <w:sz w:val="24"/>
                <w:szCs w:val="24"/>
              </w:rPr>
              <w:t xml:space="preserve">, </w:t>
            </w:r>
            <w:r w:rsidRPr="005B6A8F">
              <w:rPr>
                <w:rFonts w:ascii="Times New Roman" w:hAnsi="Times New Roman" w:cs="Times New Roman"/>
                <w:i/>
                <w:sz w:val="24"/>
                <w:szCs w:val="24"/>
              </w:rPr>
              <w:t>chrysanthemum</w:t>
            </w:r>
            <w:r w:rsidRPr="005B6A8F">
              <w:rPr>
                <w:rFonts w:ascii="Times New Roman" w:hAnsi="Times New Roman" w:cs="Times New Roman"/>
                <w:sz w:val="24"/>
                <w:szCs w:val="24"/>
              </w:rPr>
              <w:t xml:space="preserve"> etc. </w:t>
            </w:r>
            <w:r w:rsidRPr="005B6A8F">
              <w:rPr>
                <w:rFonts w:ascii="Times New Roman" w:hAnsi="Times New Roman" w:cs="Times New Roman"/>
                <w:bCs/>
                <w:sz w:val="24"/>
                <w:szCs w:val="24"/>
              </w:rPr>
              <w:t>Among the weeds, species of</w:t>
            </w:r>
            <w:r w:rsidRPr="005B6A8F">
              <w:rPr>
                <w:rFonts w:ascii="Times New Roman" w:hAnsi="Times New Roman" w:cs="Times New Roman"/>
                <w:bCs/>
                <w:i/>
                <w:sz w:val="24"/>
                <w:szCs w:val="24"/>
              </w:rPr>
              <w:t xml:space="preserve"> </w:t>
            </w:r>
            <w:proofErr w:type="spellStart"/>
            <w:r w:rsidRPr="005B6A8F">
              <w:rPr>
                <w:rFonts w:ascii="Times New Roman" w:hAnsi="Times New Roman" w:cs="Times New Roman"/>
                <w:bCs/>
                <w:i/>
                <w:sz w:val="24"/>
                <w:szCs w:val="24"/>
              </w:rPr>
              <w:t>Azeratum</w:t>
            </w:r>
            <w:proofErr w:type="spellEnd"/>
            <w:r w:rsidRPr="005B6A8F">
              <w:rPr>
                <w:rFonts w:ascii="Times New Roman" w:hAnsi="Times New Roman" w:cs="Times New Roman"/>
                <w:bCs/>
                <w:i/>
                <w:sz w:val="24"/>
                <w:szCs w:val="24"/>
              </w:rPr>
              <w:t xml:space="preserve">, </w:t>
            </w:r>
            <w:proofErr w:type="spellStart"/>
            <w:r w:rsidRPr="005B6A8F">
              <w:rPr>
                <w:rFonts w:ascii="Times New Roman" w:hAnsi="Times New Roman" w:cs="Times New Roman"/>
                <w:bCs/>
                <w:i/>
                <w:sz w:val="24"/>
                <w:szCs w:val="24"/>
              </w:rPr>
              <w:t>Commelina</w:t>
            </w:r>
            <w:proofErr w:type="spellEnd"/>
            <w:r w:rsidRPr="005B6A8F">
              <w:rPr>
                <w:rFonts w:ascii="Times New Roman" w:hAnsi="Times New Roman" w:cs="Times New Roman"/>
                <w:bCs/>
                <w:i/>
                <w:sz w:val="24"/>
                <w:szCs w:val="24"/>
              </w:rPr>
              <w:t xml:space="preserve">, </w:t>
            </w:r>
            <w:proofErr w:type="spellStart"/>
            <w:r w:rsidRPr="005B6A8F">
              <w:rPr>
                <w:rFonts w:ascii="Times New Roman" w:hAnsi="Times New Roman" w:cs="Times New Roman"/>
                <w:bCs/>
                <w:i/>
                <w:sz w:val="24"/>
                <w:szCs w:val="24"/>
              </w:rPr>
              <w:t>Achiranthus</w:t>
            </w:r>
            <w:proofErr w:type="spellEnd"/>
            <w:r w:rsidRPr="005B6A8F">
              <w:rPr>
                <w:rFonts w:ascii="Times New Roman" w:hAnsi="Times New Roman" w:cs="Times New Roman"/>
                <w:bCs/>
                <w:i/>
                <w:sz w:val="24"/>
                <w:szCs w:val="24"/>
              </w:rPr>
              <w:t xml:space="preserve"> </w:t>
            </w:r>
            <w:proofErr w:type="spellStart"/>
            <w:r w:rsidRPr="005B6A8F">
              <w:rPr>
                <w:rFonts w:ascii="Times New Roman" w:hAnsi="Times New Roman" w:cs="Times New Roman"/>
                <w:bCs/>
                <w:i/>
                <w:sz w:val="24"/>
                <w:szCs w:val="24"/>
              </w:rPr>
              <w:t>aspera</w:t>
            </w:r>
            <w:proofErr w:type="spellEnd"/>
            <w:r w:rsidRPr="005B6A8F">
              <w:rPr>
                <w:rFonts w:ascii="Times New Roman" w:hAnsi="Times New Roman" w:cs="Times New Roman"/>
                <w:bCs/>
                <w:i/>
                <w:sz w:val="24"/>
                <w:szCs w:val="24"/>
              </w:rPr>
              <w:t xml:space="preserve"> Euphorbia </w:t>
            </w:r>
            <w:proofErr w:type="spellStart"/>
            <w:r w:rsidRPr="005B6A8F">
              <w:rPr>
                <w:rFonts w:ascii="Times New Roman" w:hAnsi="Times New Roman" w:cs="Times New Roman"/>
                <w:bCs/>
                <w:i/>
                <w:sz w:val="24"/>
                <w:szCs w:val="24"/>
              </w:rPr>
              <w:t>hista</w:t>
            </w:r>
            <w:proofErr w:type="spellEnd"/>
            <w:r w:rsidRPr="005B6A8F">
              <w:rPr>
                <w:rFonts w:ascii="Times New Roman" w:hAnsi="Times New Roman" w:cs="Times New Roman"/>
                <w:bCs/>
                <w:i/>
                <w:sz w:val="24"/>
                <w:szCs w:val="24"/>
              </w:rPr>
              <w:t>,</w:t>
            </w:r>
            <w:r w:rsidRPr="005B6A8F">
              <w:rPr>
                <w:rFonts w:ascii="Times New Roman" w:hAnsi="Times New Roman" w:cs="Times New Roman"/>
                <w:bCs/>
                <w:sz w:val="24"/>
                <w:szCs w:val="24"/>
              </w:rPr>
              <w:t xml:space="preserve"> </w:t>
            </w:r>
            <w:r w:rsidRPr="005B6A8F">
              <w:rPr>
                <w:rFonts w:ascii="Times New Roman" w:hAnsi="Times New Roman" w:cs="Times New Roman"/>
                <w:bCs/>
                <w:i/>
                <w:sz w:val="24"/>
                <w:szCs w:val="24"/>
              </w:rPr>
              <w:t xml:space="preserve">showed local lesions </w:t>
            </w:r>
            <w:r w:rsidRPr="005B6A8F">
              <w:rPr>
                <w:rFonts w:ascii="Times New Roman" w:hAnsi="Times New Roman" w:cs="Times New Roman"/>
                <w:bCs/>
                <w:sz w:val="24"/>
                <w:szCs w:val="24"/>
              </w:rPr>
              <w:t xml:space="preserve">and </w:t>
            </w:r>
            <w:r w:rsidRPr="005B6A8F">
              <w:rPr>
                <w:rFonts w:ascii="Times New Roman" w:hAnsi="Times New Roman" w:cs="Times New Roman"/>
                <w:bCs/>
                <w:i/>
                <w:sz w:val="24"/>
                <w:szCs w:val="24"/>
              </w:rPr>
              <w:t xml:space="preserve">on </w:t>
            </w:r>
            <w:proofErr w:type="spellStart"/>
            <w:r w:rsidRPr="005B6A8F">
              <w:rPr>
                <w:rFonts w:ascii="Times New Roman" w:hAnsi="Times New Roman" w:cs="Times New Roman"/>
                <w:bCs/>
                <w:i/>
                <w:sz w:val="24"/>
                <w:szCs w:val="24"/>
              </w:rPr>
              <w:t>Parthenium</w:t>
            </w:r>
            <w:proofErr w:type="spellEnd"/>
            <w:r w:rsidRPr="005B6A8F">
              <w:rPr>
                <w:rFonts w:ascii="Times New Roman" w:hAnsi="Times New Roman" w:cs="Times New Roman"/>
                <w:bCs/>
                <w:sz w:val="24"/>
                <w:szCs w:val="24"/>
              </w:rPr>
              <w:t xml:space="preserve"> </w:t>
            </w:r>
            <w:proofErr w:type="spellStart"/>
            <w:r w:rsidRPr="005B6A8F">
              <w:rPr>
                <w:rFonts w:ascii="Times New Roman" w:hAnsi="Times New Roman" w:cs="Times New Roman"/>
                <w:bCs/>
                <w:i/>
                <w:sz w:val="24"/>
                <w:szCs w:val="24"/>
              </w:rPr>
              <w:t>hysterophorus</w:t>
            </w:r>
            <w:proofErr w:type="spellEnd"/>
            <w:r w:rsidRPr="005B6A8F">
              <w:rPr>
                <w:rFonts w:ascii="Times New Roman" w:hAnsi="Times New Roman" w:cs="Times New Roman"/>
                <w:bCs/>
                <w:i/>
                <w:sz w:val="24"/>
                <w:szCs w:val="24"/>
              </w:rPr>
              <w:t xml:space="preserve"> </w:t>
            </w:r>
            <w:r w:rsidRPr="005B6A8F">
              <w:rPr>
                <w:rFonts w:ascii="Times New Roman" w:hAnsi="Times New Roman" w:cs="Times New Roman"/>
                <w:bCs/>
                <w:sz w:val="24"/>
                <w:szCs w:val="24"/>
              </w:rPr>
              <w:t xml:space="preserve">though no local lesions were seen but it had reacted highly </w:t>
            </w:r>
            <w:proofErr w:type="gramStart"/>
            <w:r w:rsidRPr="005B6A8F">
              <w:rPr>
                <w:rFonts w:ascii="Times New Roman" w:hAnsi="Times New Roman" w:cs="Times New Roman"/>
                <w:bCs/>
                <w:sz w:val="24"/>
                <w:szCs w:val="24"/>
              </w:rPr>
              <w:t>positive  to</w:t>
            </w:r>
            <w:proofErr w:type="gramEnd"/>
            <w:r w:rsidRPr="005B6A8F">
              <w:rPr>
                <w:rFonts w:ascii="Times New Roman" w:hAnsi="Times New Roman" w:cs="Times New Roman"/>
                <w:bCs/>
                <w:sz w:val="24"/>
                <w:szCs w:val="24"/>
              </w:rPr>
              <w:t xml:space="preserve"> SFNV </w:t>
            </w:r>
            <w:proofErr w:type="spellStart"/>
            <w:r w:rsidRPr="005B6A8F">
              <w:rPr>
                <w:rFonts w:ascii="Times New Roman" w:hAnsi="Times New Roman" w:cs="Times New Roman"/>
                <w:bCs/>
                <w:sz w:val="24"/>
                <w:szCs w:val="24"/>
              </w:rPr>
              <w:t>antisera</w:t>
            </w:r>
            <w:proofErr w:type="spellEnd"/>
            <w:r w:rsidRPr="005B6A8F">
              <w:rPr>
                <w:rFonts w:ascii="Times New Roman" w:hAnsi="Times New Roman" w:cs="Times New Roman"/>
                <w:bCs/>
                <w:sz w:val="24"/>
                <w:szCs w:val="24"/>
              </w:rPr>
              <w:t xml:space="preserve"> and  found  as major source of </w:t>
            </w:r>
            <w:proofErr w:type="spellStart"/>
            <w:r w:rsidRPr="005B6A8F">
              <w:rPr>
                <w:rFonts w:ascii="Times New Roman" w:hAnsi="Times New Roman" w:cs="Times New Roman"/>
                <w:bCs/>
                <w:sz w:val="24"/>
                <w:szCs w:val="24"/>
              </w:rPr>
              <w:t>inoculum</w:t>
            </w:r>
            <w:proofErr w:type="spellEnd"/>
            <w:r w:rsidRPr="005B6A8F">
              <w:rPr>
                <w:rFonts w:ascii="Times New Roman" w:hAnsi="Times New Roman" w:cs="Times New Roman"/>
                <w:bCs/>
                <w:sz w:val="24"/>
                <w:szCs w:val="24"/>
              </w:rPr>
              <w:t xml:space="preserve"> in </w:t>
            </w:r>
            <w:proofErr w:type="spellStart"/>
            <w:r w:rsidRPr="005B6A8F">
              <w:rPr>
                <w:rFonts w:ascii="Times New Roman" w:hAnsi="Times New Roman" w:cs="Times New Roman"/>
                <w:bCs/>
                <w:sz w:val="24"/>
                <w:szCs w:val="24"/>
              </w:rPr>
              <w:t>harbouring</w:t>
            </w:r>
            <w:proofErr w:type="spellEnd"/>
            <w:r w:rsidRPr="005B6A8F">
              <w:rPr>
                <w:rFonts w:ascii="Times New Roman" w:hAnsi="Times New Roman" w:cs="Times New Roman"/>
                <w:bCs/>
                <w:sz w:val="24"/>
                <w:szCs w:val="24"/>
              </w:rPr>
              <w:t xml:space="preserve"> and spreading of the disease.  </w:t>
            </w:r>
          </w:p>
          <w:p w:rsidR="009D1F9E" w:rsidRPr="006401CA" w:rsidRDefault="009D1F9E" w:rsidP="001B2A50">
            <w:pPr>
              <w:pStyle w:val="b-d-txt"/>
              <w:spacing w:line="360" w:lineRule="auto"/>
            </w:pPr>
            <w:r w:rsidRPr="006401CA">
              <w:t xml:space="preserve">The host range of the virus causing SND was restricted to the members of </w:t>
            </w:r>
            <w:proofErr w:type="spellStart"/>
            <w:r w:rsidRPr="006401CA">
              <w:t>Asteraceae</w:t>
            </w:r>
            <w:proofErr w:type="spellEnd"/>
            <w:r w:rsidRPr="006401CA">
              <w:t xml:space="preserve">, </w:t>
            </w:r>
            <w:proofErr w:type="spellStart"/>
            <w:r w:rsidRPr="006401CA">
              <w:t>Chenopodiaceae</w:t>
            </w:r>
            <w:proofErr w:type="spellEnd"/>
            <w:r w:rsidRPr="006401CA">
              <w:t xml:space="preserve">, </w:t>
            </w:r>
            <w:proofErr w:type="spellStart"/>
            <w:r w:rsidRPr="006401CA">
              <w:t>Cucurbitaceae</w:t>
            </w:r>
            <w:proofErr w:type="spellEnd"/>
            <w:r w:rsidRPr="006401CA">
              <w:t xml:space="preserve">, </w:t>
            </w:r>
            <w:proofErr w:type="spellStart"/>
            <w:r w:rsidRPr="006401CA">
              <w:t>Leguminaceae</w:t>
            </w:r>
            <w:proofErr w:type="spellEnd"/>
            <w:r w:rsidRPr="006401CA">
              <w:t xml:space="preserve">, </w:t>
            </w:r>
            <w:proofErr w:type="spellStart"/>
            <w:r w:rsidRPr="006401CA">
              <w:t>Malvaceae</w:t>
            </w:r>
            <w:proofErr w:type="spellEnd"/>
            <w:r w:rsidRPr="006401CA">
              <w:t xml:space="preserve"> and </w:t>
            </w:r>
            <w:proofErr w:type="spellStart"/>
            <w:r w:rsidRPr="006401CA">
              <w:t>Solanaceae</w:t>
            </w:r>
            <w:proofErr w:type="spellEnd"/>
            <w:r w:rsidRPr="006401CA">
              <w:t xml:space="preserve"> tested.  The virus under study could not infect the members of </w:t>
            </w:r>
            <w:proofErr w:type="spellStart"/>
            <w:r w:rsidRPr="006401CA">
              <w:t>Cruciferae</w:t>
            </w:r>
            <w:proofErr w:type="spellEnd"/>
            <w:r w:rsidRPr="006401CA">
              <w:t xml:space="preserve"> and </w:t>
            </w:r>
            <w:proofErr w:type="spellStart"/>
            <w:r w:rsidRPr="006401CA">
              <w:t>Pedaliaceae</w:t>
            </w:r>
            <w:proofErr w:type="spellEnd"/>
            <w:r w:rsidRPr="006401CA">
              <w:t xml:space="preserve">. The host range reaction of the virus infecting sunflower is quite similar to that of groundnut in India (Reddy </w:t>
            </w:r>
            <w:r w:rsidRPr="006401CA">
              <w:rPr>
                <w:i/>
              </w:rPr>
              <w:t>et al.</w:t>
            </w:r>
            <w:r w:rsidRPr="006401CA">
              <w:t xml:space="preserve">, 2002; </w:t>
            </w:r>
            <w:proofErr w:type="spellStart"/>
            <w:r w:rsidRPr="006401CA">
              <w:t>Prasada</w:t>
            </w:r>
            <w:proofErr w:type="spellEnd"/>
            <w:r w:rsidRPr="006401CA">
              <w:t xml:space="preserve"> </w:t>
            </w:r>
            <w:proofErr w:type="spellStart"/>
            <w:r w:rsidRPr="006401CA">
              <w:t>Rao</w:t>
            </w:r>
            <w:proofErr w:type="spellEnd"/>
            <w:r w:rsidRPr="006401CA">
              <w:t xml:space="preserve"> </w:t>
            </w:r>
            <w:r w:rsidRPr="006401CA">
              <w:rPr>
                <w:i/>
              </w:rPr>
              <w:t>et al.</w:t>
            </w:r>
            <w:r w:rsidRPr="006401CA">
              <w:t>, 2003a ;</w:t>
            </w:r>
            <w:proofErr w:type="spellStart"/>
            <w:r w:rsidRPr="006401CA">
              <w:t>Vemana</w:t>
            </w:r>
            <w:proofErr w:type="spellEnd"/>
            <w:r w:rsidRPr="006401CA">
              <w:t xml:space="preserve"> and Jain, 2010), soybean in Brazil (Almeida </w:t>
            </w:r>
            <w:r w:rsidRPr="006401CA">
              <w:rPr>
                <w:i/>
              </w:rPr>
              <w:t>et al.</w:t>
            </w:r>
            <w:r w:rsidRPr="006401CA">
              <w:t>, 2005) and lettuce in Iran (</w:t>
            </w:r>
            <w:proofErr w:type="spellStart"/>
            <w:r w:rsidRPr="006401CA">
              <w:t>Abtahi</w:t>
            </w:r>
            <w:proofErr w:type="spellEnd"/>
            <w:r w:rsidRPr="006401CA">
              <w:t xml:space="preserve"> and </w:t>
            </w:r>
            <w:proofErr w:type="spellStart"/>
            <w:r w:rsidRPr="006401CA">
              <w:t>Motlagh</w:t>
            </w:r>
            <w:proofErr w:type="spellEnd"/>
            <w:r w:rsidRPr="006401CA">
              <w:t xml:space="preserve">, 2009). The plant species </w:t>
            </w:r>
            <w:r w:rsidRPr="006401CA">
              <w:rPr>
                <w:i/>
              </w:rPr>
              <w:t>C. annum</w:t>
            </w:r>
            <w:r w:rsidRPr="006401CA">
              <w:t xml:space="preserve">, </w:t>
            </w:r>
            <w:r w:rsidRPr="006401CA">
              <w:rPr>
                <w:i/>
              </w:rPr>
              <w:t xml:space="preserve">L. </w:t>
            </w:r>
            <w:proofErr w:type="spellStart"/>
            <w:r w:rsidRPr="006401CA">
              <w:rPr>
                <w:i/>
              </w:rPr>
              <w:t>esculentum</w:t>
            </w:r>
            <w:proofErr w:type="spellEnd"/>
            <w:r w:rsidRPr="006401CA">
              <w:rPr>
                <w:i/>
              </w:rPr>
              <w:t xml:space="preserve">, N. </w:t>
            </w:r>
            <w:proofErr w:type="spellStart"/>
            <w:r w:rsidRPr="006401CA">
              <w:rPr>
                <w:i/>
              </w:rPr>
              <w:t>benthamiana</w:t>
            </w:r>
            <w:proofErr w:type="spellEnd"/>
            <w:r w:rsidRPr="006401CA">
              <w:t xml:space="preserve"> and </w:t>
            </w:r>
            <w:r w:rsidRPr="006401CA">
              <w:rPr>
                <w:i/>
              </w:rPr>
              <w:t xml:space="preserve">S. </w:t>
            </w:r>
            <w:proofErr w:type="spellStart"/>
            <w:r w:rsidRPr="006401CA">
              <w:rPr>
                <w:i/>
              </w:rPr>
              <w:t>melongena</w:t>
            </w:r>
            <w:proofErr w:type="spellEnd"/>
            <w:r w:rsidRPr="006401CA">
              <w:t xml:space="preserve"> were not infected,) who reported that sunflower necrosis virus failed to infect the members of </w:t>
            </w:r>
            <w:proofErr w:type="spellStart"/>
            <w:r w:rsidRPr="006401CA">
              <w:t>Solanaceae</w:t>
            </w:r>
            <w:proofErr w:type="spellEnd"/>
            <w:r w:rsidRPr="006401CA">
              <w:t xml:space="preserve">. Further, </w:t>
            </w:r>
            <w:r w:rsidRPr="006401CA">
              <w:rPr>
                <w:i/>
              </w:rPr>
              <w:t xml:space="preserve">C. </w:t>
            </w:r>
            <w:proofErr w:type="spellStart"/>
            <w:r w:rsidRPr="006401CA">
              <w:rPr>
                <w:i/>
              </w:rPr>
              <w:t>sativus</w:t>
            </w:r>
            <w:proofErr w:type="spellEnd"/>
            <w:r w:rsidRPr="006401CA">
              <w:rPr>
                <w:i/>
              </w:rPr>
              <w:t xml:space="preserve">, P. </w:t>
            </w:r>
            <w:proofErr w:type="spellStart"/>
            <w:r w:rsidRPr="006401CA">
              <w:rPr>
                <w:i/>
              </w:rPr>
              <w:t>sativum</w:t>
            </w:r>
            <w:proofErr w:type="spellEnd"/>
            <w:r w:rsidRPr="006401CA">
              <w:rPr>
                <w:i/>
              </w:rPr>
              <w:t xml:space="preserve"> </w:t>
            </w:r>
            <w:r w:rsidRPr="006401CA">
              <w:t>and</w:t>
            </w:r>
            <w:r w:rsidRPr="006401CA">
              <w:rPr>
                <w:i/>
              </w:rPr>
              <w:t xml:space="preserve"> R. </w:t>
            </w:r>
            <w:proofErr w:type="spellStart"/>
            <w:r w:rsidRPr="006401CA">
              <w:rPr>
                <w:i/>
              </w:rPr>
              <w:t>sativus</w:t>
            </w:r>
            <w:proofErr w:type="spellEnd"/>
            <w:r w:rsidRPr="006401CA">
              <w:t xml:space="preserve"> were not infected, </w:t>
            </w:r>
            <w:r w:rsidRPr="006401CA">
              <w:rPr>
                <w:i/>
              </w:rPr>
              <w:t xml:space="preserve">N. </w:t>
            </w:r>
            <w:proofErr w:type="spellStart"/>
            <w:r w:rsidRPr="006401CA">
              <w:rPr>
                <w:i/>
              </w:rPr>
              <w:t>tabacum</w:t>
            </w:r>
            <w:proofErr w:type="spellEnd"/>
            <w:r w:rsidRPr="006401CA">
              <w:t xml:space="preserve"> var. Samsun produced characteristic symptom such as white ring like pattern and oak leaf pattern Out of 43 plant species tested, only 10 plant species did not show any symptom when back inoculated on assay host, cowpea cv. C-152. This is further confirmed by DAC-ELISA using polyclonal antiserum of TSV. The plant species (33) which showed visible symptoms after sap inoculation tested positive for the virus when back inoculated on assay host, cowpea cv. C-152 and in DAC-ELISA </w:t>
            </w:r>
          </w:p>
          <w:p w:rsidR="009D1F9E" w:rsidRDefault="009D1F9E" w:rsidP="001B2A50">
            <w:pPr>
              <w:spacing w:line="360" w:lineRule="auto"/>
              <w:ind w:firstLine="720"/>
              <w:jc w:val="both"/>
              <w:rPr>
                <w:rFonts w:ascii="Times New Roman" w:eastAsia="Calibri" w:hAnsi="Times New Roman" w:cs="Times New Roman"/>
                <w:bCs/>
                <w:sz w:val="24"/>
                <w:szCs w:val="24"/>
                <w:lang w:val="en-GB"/>
              </w:rPr>
            </w:pPr>
            <w:r w:rsidRPr="005B6A8F">
              <w:rPr>
                <w:rFonts w:ascii="Times New Roman" w:eastAsia="Calibri" w:hAnsi="Times New Roman" w:cs="Times New Roman"/>
                <w:bCs/>
                <w:sz w:val="24"/>
                <w:szCs w:val="24"/>
                <w:lang w:val="en-GB"/>
              </w:rPr>
              <w:t xml:space="preserve">Usually the disease incidence is found to be high in </w:t>
            </w:r>
            <w:proofErr w:type="spellStart"/>
            <w:r w:rsidRPr="005B6A8F">
              <w:rPr>
                <w:rFonts w:ascii="Times New Roman" w:eastAsia="Calibri" w:hAnsi="Times New Roman" w:cs="Times New Roman"/>
                <w:bCs/>
                <w:i/>
                <w:sz w:val="24"/>
                <w:szCs w:val="24"/>
                <w:lang w:val="en-GB"/>
              </w:rPr>
              <w:t>kharif</w:t>
            </w:r>
            <w:proofErr w:type="spellEnd"/>
            <w:r w:rsidRPr="005B6A8F">
              <w:rPr>
                <w:rFonts w:ascii="Times New Roman" w:eastAsia="Calibri" w:hAnsi="Times New Roman" w:cs="Times New Roman"/>
                <w:bCs/>
                <w:sz w:val="24"/>
                <w:szCs w:val="24"/>
                <w:lang w:val="en-GB"/>
              </w:rPr>
              <w:t xml:space="preserve"> and </w:t>
            </w:r>
            <w:proofErr w:type="spellStart"/>
            <w:r w:rsidRPr="005B6A8F">
              <w:rPr>
                <w:rFonts w:ascii="Times New Roman" w:eastAsia="Calibri" w:hAnsi="Times New Roman" w:cs="Times New Roman"/>
                <w:bCs/>
                <w:sz w:val="24"/>
                <w:szCs w:val="24"/>
                <w:lang w:val="en-GB"/>
              </w:rPr>
              <w:t>rabi</w:t>
            </w:r>
            <w:proofErr w:type="spellEnd"/>
            <w:r w:rsidRPr="005B6A8F">
              <w:rPr>
                <w:rFonts w:ascii="Times New Roman" w:eastAsia="Calibri" w:hAnsi="Times New Roman" w:cs="Times New Roman"/>
                <w:bCs/>
                <w:sz w:val="24"/>
                <w:szCs w:val="24"/>
                <w:lang w:val="en-GB"/>
              </w:rPr>
              <w:t xml:space="preserve">-summer crops.  The vegetative crop stage followed by flowering stage was found to be more vulnerable to the disease. The weather parameters compared with occurrence of the disease and the population of </w:t>
            </w:r>
            <w:proofErr w:type="spellStart"/>
            <w:r w:rsidRPr="005B6A8F">
              <w:rPr>
                <w:rFonts w:ascii="Times New Roman" w:eastAsia="Calibri" w:hAnsi="Times New Roman" w:cs="Times New Roman"/>
                <w:bCs/>
                <w:sz w:val="24"/>
                <w:szCs w:val="24"/>
                <w:lang w:val="en-GB"/>
              </w:rPr>
              <w:t>thrips</w:t>
            </w:r>
            <w:proofErr w:type="spellEnd"/>
            <w:r w:rsidRPr="005B6A8F">
              <w:rPr>
                <w:rFonts w:ascii="Times New Roman" w:eastAsia="Calibri" w:hAnsi="Times New Roman" w:cs="Times New Roman"/>
                <w:bCs/>
                <w:sz w:val="24"/>
                <w:szCs w:val="24"/>
                <w:lang w:val="en-GB"/>
              </w:rPr>
              <w:t xml:space="preserve"> indicated, highest disease incidence and maximum </w:t>
            </w:r>
            <w:proofErr w:type="spellStart"/>
            <w:r w:rsidRPr="005B6A8F">
              <w:rPr>
                <w:rFonts w:ascii="Times New Roman" w:eastAsia="Calibri" w:hAnsi="Times New Roman" w:cs="Times New Roman"/>
                <w:bCs/>
                <w:sz w:val="24"/>
                <w:szCs w:val="24"/>
                <w:lang w:val="en-GB"/>
              </w:rPr>
              <w:t>thrips</w:t>
            </w:r>
            <w:proofErr w:type="spellEnd"/>
            <w:r w:rsidRPr="005B6A8F">
              <w:rPr>
                <w:rFonts w:ascii="Times New Roman" w:eastAsia="Calibri" w:hAnsi="Times New Roman" w:cs="Times New Roman"/>
                <w:bCs/>
                <w:sz w:val="24"/>
                <w:szCs w:val="24"/>
                <w:lang w:val="en-GB"/>
              </w:rPr>
              <w:t xml:space="preserve"> population during prolonged dry periods immediately after heavy rains. Experiments on monthly sowings recorded highest disease incidence during July-September and January- March months .Whereas, during October-December the disease incidence was very less </w:t>
            </w:r>
          </w:p>
          <w:p w:rsidR="009D1F9E" w:rsidRPr="001D2BB1" w:rsidRDefault="009D1F9E" w:rsidP="001B2A50">
            <w:pPr>
              <w:ind w:firstLine="175"/>
              <w:jc w:val="both"/>
              <w:rPr>
                <w:rFonts w:ascii="Times New Roman" w:eastAsia="Calibri" w:hAnsi="Times New Roman" w:cs="Times New Roman"/>
                <w:bCs/>
                <w:sz w:val="24"/>
                <w:szCs w:val="24"/>
              </w:rPr>
            </w:pPr>
            <w:r w:rsidRPr="00DB610F">
              <w:rPr>
                <w:rFonts w:ascii="Times New Roman" w:eastAsia="Calibri" w:hAnsi="Times New Roman" w:cs="Times New Roman"/>
                <w:b/>
                <w:bCs/>
                <w:sz w:val="24"/>
                <w:szCs w:val="24"/>
                <w:lang w:val="en-US"/>
              </w:rPr>
              <w:t xml:space="preserve">Overall correlation matrix of SND with weather parameters  in  sunflower cv. </w:t>
            </w:r>
            <w:proofErr w:type="spellStart"/>
            <w:r w:rsidRPr="00DB610F">
              <w:rPr>
                <w:rFonts w:ascii="Times New Roman" w:eastAsia="Calibri" w:hAnsi="Times New Roman" w:cs="Times New Roman"/>
                <w:b/>
                <w:bCs/>
                <w:sz w:val="24"/>
                <w:szCs w:val="24"/>
                <w:lang w:val="en-US"/>
              </w:rPr>
              <w:t>Morden</w:t>
            </w:r>
            <w:proofErr w:type="spellEnd"/>
            <w:r w:rsidRPr="00DB610F">
              <w:rPr>
                <w:rFonts w:ascii="Times New Roman" w:eastAsia="Calibri" w:hAnsi="Times New Roman" w:cs="Times New Roman"/>
                <w:bCs/>
                <w:sz w:val="24"/>
                <w:szCs w:val="24"/>
                <w:lang w:val="en-US"/>
              </w:rPr>
              <w:t xml:space="preserve"> </w:t>
            </w:r>
          </w:p>
          <w:p w:rsidR="009D1F9E" w:rsidRPr="00DB610F" w:rsidRDefault="009D1F9E" w:rsidP="001B2A50">
            <w:pPr>
              <w:ind w:firstLine="175"/>
              <w:jc w:val="both"/>
              <w:rPr>
                <w:rFonts w:ascii="Times New Roman" w:eastAsia="Calibri" w:hAnsi="Times New Roman" w:cs="Times New Roman"/>
                <w:bCs/>
                <w:sz w:val="24"/>
                <w:szCs w:val="24"/>
              </w:rPr>
            </w:pPr>
          </w:p>
          <w:tbl>
            <w:tblPr>
              <w:tblW w:w="9399" w:type="dxa"/>
              <w:tblLayout w:type="fixed"/>
              <w:tblCellMar>
                <w:left w:w="0" w:type="dxa"/>
                <w:right w:w="0" w:type="dxa"/>
              </w:tblCellMar>
              <w:tblLook w:val="04A0"/>
            </w:tblPr>
            <w:tblGrid>
              <w:gridCol w:w="1476"/>
              <w:gridCol w:w="919"/>
              <w:gridCol w:w="919"/>
              <w:gridCol w:w="919"/>
              <w:gridCol w:w="919"/>
              <w:gridCol w:w="1009"/>
              <w:gridCol w:w="1099"/>
              <w:gridCol w:w="1144"/>
              <w:gridCol w:w="995"/>
            </w:tblGrid>
            <w:tr w:rsidR="009D1F9E" w:rsidRPr="00D621BD" w:rsidTr="001B2A50">
              <w:trPr>
                <w:trHeight w:val="572"/>
              </w:trPr>
              <w:tc>
                <w:tcPr>
                  <w:tcW w:w="1476"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r w:rsidRPr="00D621BD">
                    <w:rPr>
                      <w:rFonts w:ascii="Times New Roman" w:hAnsi="Times New Roman" w:cs="Times New Roman"/>
                      <w:sz w:val="20"/>
                      <w:szCs w:val="20"/>
                      <w:lang w:val="en-US"/>
                    </w:rPr>
                    <w:t xml:space="preserve">Temp. (max) </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r w:rsidRPr="00D621BD">
                    <w:rPr>
                      <w:rFonts w:ascii="Times New Roman" w:hAnsi="Times New Roman" w:cs="Times New Roman"/>
                      <w:sz w:val="20"/>
                      <w:szCs w:val="20"/>
                      <w:lang w:val="en-US"/>
                    </w:rPr>
                    <w:t xml:space="preserve">Temp. (min) </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r w:rsidRPr="00D621BD">
                    <w:rPr>
                      <w:rFonts w:ascii="Times New Roman" w:hAnsi="Times New Roman" w:cs="Times New Roman"/>
                      <w:sz w:val="20"/>
                      <w:szCs w:val="20"/>
                      <w:lang w:val="en-US"/>
                    </w:rPr>
                    <w:t xml:space="preserve">RH I </w:t>
                  </w:r>
                </w:p>
                <w:p w:rsidR="009D1F9E" w:rsidRPr="00D621BD" w:rsidRDefault="009D1F9E" w:rsidP="001B2A50">
                  <w:pPr>
                    <w:rPr>
                      <w:rFonts w:ascii="Times New Roman" w:hAnsi="Times New Roman" w:cs="Times New Roman"/>
                      <w:sz w:val="20"/>
                      <w:szCs w:val="20"/>
                    </w:rPr>
                  </w:pPr>
                  <w:r w:rsidRPr="00D621BD">
                    <w:rPr>
                      <w:rFonts w:ascii="Times New Roman" w:hAnsi="Times New Roman" w:cs="Times New Roman"/>
                      <w:sz w:val="20"/>
                      <w:szCs w:val="20"/>
                      <w:lang w:val="en-US"/>
                    </w:rPr>
                    <w:t xml:space="preserve"> (%) </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r w:rsidRPr="00D621BD">
                    <w:rPr>
                      <w:rFonts w:ascii="Times New Roman" w:hAnsi="Times New Roman" w:cs="Times New Roman"/>
                      <w:sz w:val="20"/>
                      <w:szCs w:val="20"/>
                      <w:lang w:val="en-US"/>
                    </w:rPr>
                    <w:t xml:space="preserve">RH II (%) </w:t>
                  </w:r>
                </w:p>
              </w:tc>
              <w:tc>
                <w:tcPr>
                  <w:tcW w:w="1009"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r w:rsidRPr="00D621BD">
                    <w:rPr>
                      <w:rFonts w:ascii="Times New Roman" w:hAnsi="Times New Roman" w:cs="Times New Roman"/>
                      <w:sz w:val="20"/>
                      <w:szCs w:val="20"/>
                      <w:lang w:val="en-US"/>
                    </w:rPr>
                    <w:t xml:space="preserve">Rainfall (mm) </w:t>
                  </w: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r w:rsidRPr="00D621BD">
                    <w:rPr>
                      <w:rFonts w:ascii="Times New Roman" w:hAnsi="Times New Roman" w:cs="Times New Roman"/>
                      <w:sz w:val="20"/>
                      <w:szCs w:val="20"/>
                      <w:lang w:val="en-US"/>
                    </w:rPr>
                    <w:t xml:space="preserve">Sunshine (h) </w:t>
                  </w:r>
                </w:p>
              </w:tc>
              <w:tc>
                <w:tcPr>
                  <w:tcW w:w="1144"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proofErr w:type="spellStart"/>
                  <w:r w:rsidRPr="00D621BD">
                    <w:rPr>
                      <w:rFonts w:ascii="Times New Roman" w:hAnsi="Times New Roman" w:cs="Times New Roman"/>
                      <w:sz w:val="20"/>
                      <w:szCs w:val="20"/>
                      <w:lang w:val="en-US"/>
                    </w:rPr>
                    <w:t>Windspeed</w:t>
                  </w:r>
                  <w:proofErr w:type="spellEnd"/>
                  <w:r w:rsidRPr="00D621BD">
                    <w:rPr>
                      <w:rFonts w:ascii="Times New Roman" w:hAnsi="Times New Roman" w:cs="Times New Roman"/>
                      <w:sz w:val="20"/>
                      <w:szCs w:val="20"/>
                      <w:lang w:val="en-US"/>
                    </w:rPr>
                    <w:t xml:space="preserve"> (km/h) </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r w:rsidRPr="00D621BD">
                    <w:rPr>
                      <w:rFonts w:ascii="Times New Roman" w:hAnsi="Times New Roman" w:cs="Times New Roman"/>
                      <w:sz w:val="20"/>
                      <w:szCs w:val="20"/>
                      <w:lang w:val="en-US"/>
                    </w:rPr>
                    <w:t xml:space="preserve">Per cent SND </w:t>
                  </w:r>
                </w:p>
              </w:tc>
            </w:tr>
            <w:tr w:rsidR="009D1F9E" w:rsidRPr="00D621BD" w:rsidTr="001B2A50">
              <w:trPr>
                <w:trHeight w:val="430"/>
              </w:trPr>
              <w:tc>
                <w:tcPr>
                  <w:tcW w:w="1476"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r w:rsidRPr="00D621BD">
                    <w:rPr>
                      <w:rFonts w:ascii="Times New Roman" w:hAnsi="Times New Roman" w:cs="Times New Roman"/>
                      <w:sz w:val="20"/>
                      <w:szCs w:val="20"/>
                      <w:lang w:val="en-US"/>
                    </w:rPr>
                    <w:lastRenderedPageBreak/>
                    <w:t xml:space="preserve">Temp. (max) </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r w:rsidRPr="00D621BD">
                    <w:rPr>
                      <w:rFonts w:ascii="Times New Roman" w:hAnsi="Times New Roman" w:cs="Times New Roman"/>
                      <w:sz w:val="20"/>
                      <w:szCs w:val="20"/>
                      <w:lang w:val="en-US"/>
                    </w:rPr>
                    <w:t xml:space="preserve">1.0000 </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r w:rsidRPr="00D621BD">
                    <w:rPr>
                      <w:rFonts w:ascii="Times New Roman" w:hAnsi="Times New Roman" w:cs="Times New Roman"/>
                      <w:sz w:val="20"/>
                      <w:szCs w:val="20"/>
                      <w:lang w:val="en-US"/>
                    </w:rPr>
                    <w:t xml:space="preserve">0.3401 </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r w:rsidRPr="00D621BD">
                    <w:rPr>
                      <w:rFonts w:ascii="Times New Roman" w:hAnsi="Times New Roman" w:cs="Times New Roman"/>
                      <w:sz w:val="20"/>
                      <w:szCs w:val="20"/>
                      <w:lang w:val="en-US"/>
                    </w:rPr>
                    <w:t xml:space="preserve">-0.3902 </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r w:rsidRPr="00D621BD">
                    <w:rPr>
                      <w:rFonts w:ascii="Times New Roman" w:hAnsi="Times New Roman" w:cs="Times New Roman"/>
                      <w:sz w:val="20"/>
                      <w:szCs w:val="20"/>
                      <w:lang w:val="en-US"/>
                    </w:rPr>
                    <w:t xml:space="preserve">-0.3742 </w:t>
                  </w:r>
                </w:p>
              </w:tc>
              <w:tc>
                <w:tcPr>
                  <w:tcW w:w="1009"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r w:rsidRPr="00D621BD">
                    <w:rPr>
                      <w:rFonts w:ascii="Times New Roman" w:hAnsi="Times New Roman" w:cs="Times New Roman"/>
                      <w:sz w:val="20"/>
                      <w:szCs w:val="20"/>
                      <w:lang w:val="en-US"/>
                    </w:rPr>
                    <w:t xml:space="preserve">-0.0652 </w:t>
                  </w: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r w:rsidRPr="00D621BD">
                    <w:rPr>
                      <w:rFonts w:ascii="Times New Roman" w:hAnsi="Times New Roman" w:cs="Times New Roman"/>
                      <w:sz w:val="20"/>
                      <w:szCs w:val="20"/>
                      <w:lang w:val="en-US"/>
                    </w:rPr>
                    <w:t xml:space="preserve">  0.3766 </w:t>
                  </w:r>
                </w:p>
              </w:tc>
              <w:tc>
                <w:tcPr>
                  <w:tcW w:w="1144"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r w:rsidRPr="00D621BD">
                    <w:rPr>
                      <w:rFonts w:ascii="Times New Roman" w:hAnsi="Times New Roman" w:cs="Times New Roman"/>
                      <w:sz w:val="20"/>
                      <w:szCs w:val="20"/>
                      <w:lang w:val="en-US"/>
                    </w:rPr>
                    <w:t xml:space="preserve">  0.1267 </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r w:rsidRPr="00D621BD">
                    <w:rPr>
                      <w:rFonts w:ascii="Times New Roman" w:hAnsi="Times New Roman" w:cs="Times New Roman"/>
                      <w:sz w:val="20"/>
                      <w:szCs w:val="20"/>
                      <w:lang w:val="en-US"/>
                    </w:rPr>
                    <w:t xml:space="preserve">0.1138 </w:t>
                  </w:r>
                </w:p>
              </w:tc>
            </w:tr>
            <w:tr w:rsidR="009D1F9E" w:rsidRPr="00D621BD" w:rsidTr="001B2A50">
              <w:trPr>
                <w:trHeight w:val="430"/>
              </w:trPr>
              <w:tc>
                <w:tcPr>
                  <w:tcW w:w="1476"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r w:rsidRPr="00D621BD">
                    <w:rPr>
                      <w:rFonts w:ascii="Times New Roman" w:hAnsi="Times New Roman" w:cs="Times New Roman"/>
                      <w:sz w:val="20"/>
                      <w:szCs w:val="20"/>
                      <w:lang w:val="en-US"/>
                    </w:rPr>
                    <w:t xml:space="preserve">Temp. (min) </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r w:rsidRPr="00D621BD">
                    <w:rPr>
                      <w:rFonts w:ascii="Times New Roman" w:hAnsi="Times New Roman" w:cs="Times New Roman"/>
                      <w:sz w:val="20"/>
                      <w:szCs w:val="20"/>
                      <w:lang w:val="en-US"/>
                    </w:rPr>
                    <w:t xml:space="preserve">1.0000 </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r w:rsidRPr="00D621BD">
                    <w:rPr>
                      <w:rFonts w:ascii="Times New Roman" w:hAnsi="Times New Roman" w:cs="Times New Roman"/>
                      <w:sz w:val="20"/>
                      <w:szCs w:val="20"/>
                      <w:lang w:val="en-US"/>
                    </w:rPr>
                    <w:t xml:space="preserve">  0.2580 </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r w:rsidRPr="00D621BD">
                    <w:rPr>
                      <w:rFonts w:ascii="Times New Roman" w:hAnsi="Times New Roman" w:cs="Times New Roman"/>
                      <w:sz w:val="20"/>
                      <w:szCs w:val="20"/>
                      <w:lang w:val="en-US"/>
                    </w:rPr>
                    <w:t xml:space="preserve">  0.6119 </w:t>
                  </w:r>
                </w:p>
              </w:tc>
              <w:tc>
                <w:tcPr>
                  <w:tcW w:w="1009"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r w:rsidRPr="00D621BD">
                    <w:rPr>
                      <w:rFonts w:ascii="Times New Roman" w:hAnsi="Times New Roman" w:cs="Times New Roman"/>
                      <w:sz w:val="20"/>
                      <w:szCs w:val="20"/>
                      <w:lang w:val="en-US"/>
                    </w:rPr>
                    <w:t xml:space="preserve">  0.5166 </w:t>
                  </w: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r w:rsidRPr="00D621BD">
                    <w:rPr>
                      <w:rFonts w:ascii="Times New Roman" w:hAnsi="Times New Roman" w:cs="Times New Roman"/>
                      <w:sz w:val="20"/>
                      <w:szCs w:val="20"/>
                      <w:lang w:val="en-US"/>
                    </w:rPr>
                    <w:t xml:space="preserve">-0.6604 </w:t>
                  </w:r>
                </w:p>
              </w:tc>
              <w:tc>
                <w:tcPr>
                  <w:tcW w:w="1144"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r w:rsidRPr="00D621BD">
                    <w:rPr>
                      <w:rFonts w:ascii="Times New Roman" w:hAnsi="Times New Roman" w:cs="Times New Roman"/>
                      <w:sz w:val="20"/>
                      <w:szCs w:val="20"/>
                      <w:lang w:val="en-US"/>
                    </w:rPr>
                    <w:t xml:space="preserve">  0.4992 </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r w:rsidRPr="00D621BD">
                    <w:rPr>
                      <w:rFonts w:ascii="Times New Roman" w:hAnsi="Times New Roman" w:cs="Times New Roman"/>
                      <w:sz w:val="20"/>
                      <w:szCs w:val="20"/>
                      <w:lang w:val="en-US"/>
                    </w:rPr>
                    <w:t xml:space="preserve">0.6031** </w:t>
                  </w:r>
                </w:p>
              </w:tc>
            </w:tr>
            <w:tr w:rsidR="009D1F9E" w:rsidRPr="00D621BD" w:rsidTr="001B2A50">
              <w:trPr>
                <w:trHeight w:val="430"/>
              </w:trPr>
              <w:tc>
                <w:tcPr>
                  <w:tcW w:w="1476"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r w:rsidRPr="00D621BD">
                    <w:rPr>
                      <w:rFonts w:ascii="Times New Roman" w:hAnsi="Times New Roman" w:cs="Times New Roman"/>
                      <w:sz w:val="20"/>
                      <w:szCs w:val="20"/>
                      <w:lang w:val="en-US"/>
                    </w:rPr>
                    <w:t xml:space="preserve">RH I (%) </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r w:rsidRPr="00D621BD">
                    <w:rPr>
                      <w:rFonts w:ascii="Times New Roman" w:hAnsi="Times New Roman" w:cs="Times New Roman"/>
                      <w:sz w:val="20"/>
                      <w:szCs w:val="20"/>
                      <w:lang w:val="en-US"/>
                    </w:rPr>
                    <w:t xml:space="preserve">  1.0000 </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r w:rsidRPr="00D621BD">
                    <w:rPr>
                      <w:rFonts w:ascii="Times New Roman" w:hAnsi="Times New Roman" w:cs="Times New Roman"/>
                      <w:sz w:val="20"/>
                      <w:szCs w:val="20"/>
                      <w:lang w:val="en-US"/>
                    </w:rPr>
                    <w:t xml:space="preserve">  0.5985 </w:t>
                  </w:r>
                </w:p>
              </w:tc>
              <w:tc>
                <w:tcPr>
                  <w:tcW w:w="1009"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r w:rsidRPr="00D621BD">
                    <w:rPr>
                      <w:rFonts w:ascii="Times New Roman" w:hAnsi="Times New Roman" w:cs="Times New Roman"/>
                      <w:sz w:val="20"/>
                      <w:szCs w:val="20"/>
                      <w:lang w:val="en-US"/>
                    </w:rPr>
                    <w:t xml:space="preserve">  0.4688 </w:t>
                  </w: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r w:rsidRPr="00D621BD">
                    <w:rPr>
                      <w:rFonts w:ascii="Times New Roman" w:hAnsi="Times New Roman" w:cs="Times New Roman"/>
                      <w:sz w:val="20"/>
                      <w:szCs w:val="20"/>
                      <w:lang w:val="en-US"/>
                    </w:rPr>
                    <w:t xml:space="preserve">-0.4284 </w:t>
                  </w:r>
                </w:p>
              </w:tc>
              <w:tc>
                <w:tcPr>
                  <w:tcW w:w="1144"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r w:rsidRPr="00D621BD">
                    <w:rPr>
                      <w:rFonts w:ascii="Times New Roman" w:hAnsi="Times New Roman" w:cs="Times New Roman"/>
                      <w:sz w:val="20"/>
                      <w:szCs w:val="20"/>
                      <w:lang w:val="en-US"/>
                    </w:rPr>
                    <w:t xml:space="preserve">-0.2110 </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r w:rsidRPr="00D621BD">
                    <w:rPr>
                      <w:rFonts w:ascii="Times New Roman" w:hAnsi="Times New Roman" w:cs="Times New Roman"/>
                      <w:sz w:val="20"/>
                      <w:szCs w:val="20"/>
                      <w:lang w:val="en-US"/>
                    </w:rPr>
                    <w:t xml:space="preserve">0.2442 </w:t>
                  </w:r>
                </w:p>
              </w:tc>
            </w:tr>
            <w:tr w:rsidR="009D1F9E" w:rsidRPr="00D621BD" w:rsidTr="001B2A50">
              <w:trPr>
                <w:trHeight w:val="430"/>
              </w:trPr>
              <w:tc>
                <w:tcPr>
                  <w:tcW w:w="1476"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r w:rsidRPr="00D621BD">
                    <w:rPr>
                      <w:rFonts w:ascii="Times New Roman" w:hAnsi="Times New Roman" w:cs="Times New Roman"/>
                      <w:sz w:val="20"/>
                      <w:szCs w:val="20"/>
                      <w:lang w:val="en-US"/>
                    </w:rPr>
                    <w:t xml:space="preserve">RH II (%) </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r w:rsidRPr="00D621BD">
                    <w:rPr>
                      <w:rFonts w:ascii="Times New Roman" w:hAnsi="Times New Roman" w:cs="Times New Roman"/>
                      <w:sz w:val="20"/>
                      <w:szCs w:val="20"/>
                      <w:lang w:val="en-US"/>
                    </w:rPr>
                    <w:t xml:space="preserve">  1.0000 </w:t>
                  </w:r>
                </w:p>
              </w:tc>
              <w:tc>
                <w:tcPr>
                  <w:tcW w:w="1009"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r w:rsidRPr="00D621BD">
                    <w:rPr>
                      <w:rFonts w:ascii="Times New Roman" w:hAnsi="Times New Roman" w:cs="Times New Roman"/>
                      <w:sz w:val="20"/>
                      <w:szCs w:val="20"/>
                      <w:lang w:val="en-US"/>
                    </w:rPr>
                    <w:t xml:space="preserve">  0.6481 </w:t>
                  </w: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r w:rsidRPr="00D621BD">
                    <w:rPr>
                      <w:rFonts w:ascii="Times New Roman" w:hAnsi="Times New Roman" w:cs="Times New Roman"/>
                      <w:sz w:val="20"/>
                      <w:szCs w:val="20"/>
                      <w:lang w:val="en-US"/>
                    </w:rPr>
                    <w:t xml:space="preserve">-0.7936 </w:t>
                  </w:r>
                </w:p>
              </w:tc>
              <w:tc>
                <w:tcPr>
                  <w:tcW w:w="1144"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r w:rsidRPr="00D621BD">
                    <w:rPr>
                      <w:rFonts w:ascii="Times New Roman" w:hAnsi="Times New Roman" w:cs="Times New Roman"/>
                      <w:sz w:val="20"/>
                      <w:szCs w:val="20"/>
                      <w:lang w:val="en-US"/>
                    </w:rPr>
                    <w:t xml:space="preserve">  0.2289 </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r w:rsidRPr="00D621BD">
                    <w:rPr>
                      <w:rFonts w:ascii="Times New Roman" w:hAnsi="Times New Roman" w:cs="Times New Roman"/>
                      <w:sz w:val="20"/>
                      <w:szCs w:val="20"/>
                      <w:lang w:val="en-US"/>
                    </w:rPr>
                    <w:t xml:space="preserve">0.5107** </w:t>
                  </w:r>
                </w:p>
              </w:tc>
            </w:tr>
            <w:tr w:rsidR="009D1F9E" w:rsidRPr="00D621BD" w:rsidTr="001B2A50">
              <w:trPr>
                <w:trHeight w:val="430"/>
              </w:trPr>
              <w:tc>
                <w:tcPr>
                  <w:tcW w:w="1476"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r w:rsidRPr="00D621BD">
                    <w:rPr>
                      <w:rFonts w:ascii="Times New Roman" w:hAnsi="Times New Roman" w:cs="Times New Roman"/>
                      <w:sz w:val="20"/>
                      <w:szCs w:val="20"/>
                      <w:lang w:val="en-US"/>
                    </w:rPr>
                    <w:t xml:space="preserve">Rainfall(mm) </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p>
              </w:tc>
              <w:tc>
                <w:tcPr>
                  <w:tcW w:w="1009"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r w:rsidRPr="00D621BD">
                    <w:rPr>
                      <w:rFonts w:ascii="Times New Roman" w:hAnsi="Times New Roman" w:cs="Times New Roman"/>
                      <w:sz w:val="20"/>
                      <w:szCs w:val="20"/>
                      <w:lang w:val="en-US"/>
                    </w:rPr>
                    <w:t xml:space="preserve">1.0000 </w:t>
                  </w: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r w:rsidRPr="00D621BD">
                    <w:rPr>
                      <w:rFonts w:ascii="Times New Roman" w:hAnsi="Times New Roman" w:cs="Times New Roman"/>
                      <w:sz w:val="20"/>
                      <w:szCs w:val="20"/>
                      <w:lang w:val="en-US"/>
                    </w:rPr>
                    <w:t xml:space="preserve">-0.5374 </w:t>
                  </w:r>
                </w:p>
              </w:tc>
              <w:tc>
                <w:tcPr>
                  <w:tcW w:w="1144"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r w:rsidRPr="00D621BD">
                    <w:rPr>
                      <w:rFonts w:ascii="Times New Roman" w:hAnsi="Times New Roman" w:cs="Times New Roman"/>
                      <w:sz w:val="20"/>
                      <w:szCs w:val="20"/>
                      <w:lang w:val="en-US"/>
                    </w:rPr>
                    <w:t xml:space="preserve">  0.0584 </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r w:rsidRPr="00D621BD">
                    <w:rPr>
                      <w:rFonts w:ascii="Times New Roman" w:hAnsi="Times New Roman" w:cs="Times New Roman"/>
                      <w:sz w:val="20"/>
                      <w:szCs w:val="20"/>
                      <w:lang w:val="en-US"/>
                    </w:rPr>
                    <w:t xml:space="preserve">0.5726** </w:t>
                  </w:r>
                </w:p>
              </w:tc>
            </w:tr>
            <w:tr w:rsidR="009D1F9E" w:rsidRPr="00D621BD" w:rsidTr="001B2A50">
              <w:trPr>
                <w:trHeight w:val="430"/>
              </w:trPr>
              <w:tc>
                <w:tcPr>
                  <w:tcW w:w="1476"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r w:rsidRPr="00D621BD">
                    <w:rPr>
                      <w:rFonts w:ascii="Times New Roman" w:hAnsi="Times New Roman" w:cs="Times New Roman"/>
                      <w:sz w:val="20"/>
                      <w:szCs w:val="20"/>
                      <w:lang w:val="en-US"/>
                    </w:rPr>
                    <w:t xml:space="preserve">Sunshine (h) </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p>
              </w:tc>
              <w:tc>
                <w:tcPr>
                  <w:tcW w:w="1009"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r w:rsidRPr="00D621BD">
                    <w:rPr>
                      <w:rFonts w:ascii="Times New Roman" w:hAnsi="Times New Roman" w:cs="Times New Roman"/>
                      <w:sz w:val="20"/>
                      <w:szCs w:val="20"/>
                      <w:lang w:val="en-US"/>
                    </w:rPr>
                    <w:t xml:space="preserve">1.0000 </w:t>
                  </w:r>
                </w:p>
              </w:tc>
              <w:tc>
                <w:tcPr>
                  <w:tcW w:w="1144"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r w:rsidRPr="00D621BD">
                    <w:rPr>
                      <w:rFonts w:ascii="Times New Roman" w:hAnsi="Times New Roman" w:cs="Times New Roman"/>
                      <w:sz w:val="20"/>
                      <w:szCs w:val="20"/>
                      <w:lang w:val="en-US"/>
                    </w:rPr>
                    <w:t xml:space="preserve">-0.5063 </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r w:rsidRPr="00D621BD">
                    <w:rPr>
                      <w:rFonts w:ascii="Times New Roman" w:hAnsi="Times New Roman" w:cs="Times New Roman"/>
                      <w:sz w:val="20"/>
                      <w:szCs w:val="20"/>
                      <w:lang w:val="en-US"/>
                    </w:rPr>
                    <w:t xml:space="preserve">-0.5323** </w:t>
                  </w:r>
                </w:p>
              </w:tc>
            </w:tr>
            <w:tr w:rsidR="009D1F9E" w:rsidRPr="00D621BD" w:rsidTr="001B2A50">
              <w:trPr>
                <w:trHeight w:val="449"/>
              </w:trPr>
              <w:tc>
                <w:tcPr>
                  <w:tcW w:w="1476"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proofErr w:type="spellStart"/>
                  <w:r w:rsidRPr="00D621BD">
                    <w:rPr>
                      <w:rFonts w:ascii="Times New Roman" w:hAnsi="Times New Roman" w:cs="Times New Roman"/>
                      <w:sz w:val="20"/>
                      <w:szCs w:val="20"/>
                      <w:lang w:val="en-US"/>
                    </w:rPr>
                    <w:t>Windspeed</w:t>
                  </w:r>
                  <w:proofErr w:type="spellEnd"/>
                  <w:r w:rsidRPr="00D621BD">
                    <w:rPr>
                      <w:rFonts w:ascii="Times New Roman" w:hAnsi="Times New Roman" w:cs="Times New Roman"/>
                      <w:sz w:val="20"/>
                      <w:szCs w:val="20"/>
                      <w:lang w:val="en-US"/>
                    </w:rPr>
                    <w:t xml:space="preserve"> (km/h) </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p>
              </w:tc>
              <w:tc>
                <w:tcPr>
                  <w:tcW w:w="1009"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p>
              </w:tc>
              <w:tc>
                <w:tcPr>
                  <w:tcW w:w="1144"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r w:rsidRPr="00D621BD">
                    <w:rPr>
                      <w:rFonts w:ascii="Times New Roman" w:hAnsi="Times New Roman" w:cs="Times New Roman"/>
                      <w:sz w:val="20"/>
                      <w:szCs w:val="20"/>
                      <w:lang w:val="en-US"/>
                    </w:rPr>
                    <w:t xml:space="preserve">1.0000 </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r w:rsidRPr="00D621BD">
                    <w:rPr>
                      <w:rFonts w:ascii="Times New Roman" w:hAnsi="Times New Roman" w:cs="Times New Roman"/>
                      <w:sz w:val="20"/>
                      <w:szCs w:val="20"/>
                      <w:lang w:val="en-US"/>
                    </w:rPr>
                    <w:t xml:space="preserve">0.2988* </w:t>
                  </w:r>
                </w:p>
              </w:tc>
            </w:tr>
            <w:tr w:rsidR="009D1F9E" w:rsidRPr="00D621BD" w:rsidTr="001B2A50">
              <w:trPr>
                <w:trHeight w:val="37"/>
              </w:trPr>
              <w:tc>
                <w:tcPr>
                  <w:tcW w:w="1476"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r w:rsidRPr="00D621BD">
                    <w:rPr>
                      <w:rFonts w:ascii="Times New Roman" w:hAnsi="Times New Roman" w:cs="Times New Roman"/>
                      <w:sz w:val="20"/>
                      <w:szCs w:val="20"/>
                      <w:lang w:val="en-US"/>
                    </w:rPr>
                    <w:t xml:space="preserve">Per cent SND </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p>
              </w:tc>
              <w:tc>
                <w:tcPr>
                  <w:tcW w:w="1009"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p>
              </w:tc>
              <w:tc>
                <w:tcPr>
                  <w:tcW w:w="1144"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24" w:type="dxa"/>
                    <w:left w:w="108" w:type="dxa"/>
                    <w:bottom w:w="0" w:type="dxa"/>
                    <w:right w:w="108" w:type="dxa"/>
                  </w:tcMar>
                  <w:hideMark/>
                </w:tcPr>
                <w:p w:rsidR="009D1F9E" w:rsidRPr="00D621BD" w:rsidRDefault="009D1F9E" w:rsidP="001B2A50">
                  <w:pPr>
                    <w:rPr>
                      <w:rFonts w:ascii="Times New Roman" w:hAnsi="Times New Roman" w:cs="Times New Roman"/>
                      <w:sz w:val="20"/>
                      <w:szCs w:val="20"/>
                    </w:rPr>
                  </w:pPr>
                  <w:r w:rsidRPr="00D621BD">
                    <w:rPr>
                      <w:rFonts w:ascii="Times New Roman" w:hAnsi="Times New Roman" w:cs="Times New Roman"/>
                      <w:sz w:val="20"/>
                      <w:szCs w:val="20"/>
                      <w:lang w:val="en-US"/>
                    </w:rPr>
                    <w:t xml:space="preserve">1.0000 </w:t>
                  </w:r>
                </w:p>
              </w:tc>
            </w:tr>
          </w:tbl>
          <w:p w:rsidR="009D1F9E" w:rsidRPr="005B6A8F" w:rsidRDefault="009D1F9E" w:rsidP="001B2A50">
            <w:pPr>
              <w:spacing w:line="360" w:lineRule="auto"/>
              <w:ind w:firstLine="720"/>
              <w:jc w:val="both"/>
              <w:rPr>
                <w:rFonts w:ascii="Times New Roman" w:eastAsia="Calibri" w:hAnsi="Times New Roman" w:cs="Times New Roman"/>
                <w:bCs/>
                <w:sz w:val="24"/>
                <w:szCs w:val="24"/>
                <w:lang w:val="en-GB"/>
              </w:rPr>
            </w:pPr>
          </w:p>
          <w:p w:rsidR="009D1F9E" w:rsidRPr="005B6A8F" w:rsidRDefault="009D1F9E" w:rsidP="001B2A50">
            <w:pPr>
              <w:spacing w:line="360" w:lineRule="auto"/>
              <w:ind w:firstLine="720"/>
              <w:jc w:val="both"/>
              <w:rPr>
                <w:rFonts w:ascii="Times New Roman" w:hAnsi="Times New Roman" w:cs="Times New Roman"/>
                <w:color w:val="FF0000"/>
                <w:sz w:val="24"/>
                <w:szCs w:val="24"/>
              </w:rPr>
            </w:pPr>
          </w:p>
        </w:tc>
      </w:tr>
    </w:tbl>
    <w:p w:rsidR="009D1F9E" w:rsidRPr="00D373B5" w:rsidRDefault="009D1F9E" w:rsidP="009D1F9E">
      <w:pPr>
        <w:suppressAutoHyphens/>
        <w:autoSpaceDN w:val="0"/>
        <w:spacing w:after="0" w:line="360" w:lineRule="auto"/>
        <w:ind w:left="720"/>
        <w:jc w:val="both"/>
        <w:textAlignment w:val="baseline"/>
        <w:rPr>
          <w:rFonts w:ascii="Times New Roman" w:hAnsi="Times New Roman" w:cs="Times New Roman"/>
          <w:sz w:val="24"/>
          <w:szCs w:val="24"/>
        </w:rPr>
      </w:pPr>
    </w:p>
    <w:p w:rsidR="004B0F7F" w:rsidRDefault="004B0F7F"/>
    <w:sectPr w:rsidR="004B0F7F" w:rsidSect="00D621BD">
      <w:footerReference w:type="default" r:id="rId4"/>
      <w:pgSz w:w="11906" w:h="16838"/>
      <w:pgMar w:top="1276" w:right="144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1BD" w:rsidRDefault="009D1F9E">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D1F9E"/>
    <w:rsid w:val="004B0F7F"/>
    <w:rsid w:val="009D1F9E"/>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F9E"/>
    <w:rPr>
      <w:lang w:val="en-IN" w:bidi="ta-IN"/>
    </w:rPr>
  </w:style>
  <w:style w:type="paragraph" w:styleId="Heading8">
    <w:name w:val="heading 8"/>
    <w:basedOn w:val="Normal"/>
    <w:next w:val="Normal"/>
    <w:link w:val="Heading8Char"/>
    <w:qFormat/>
    <w:rsid w:val="009D1F9E"/>
    <w:pPr>
      <w:spacing w:before="240" w:after="60" w:line="240" w:lineRule="auto"/>
      <w:outlineLvl w:val="7"/>
    </w:pPr>
    <w:rPr>
      <w:rFonts w:ascii="Times New Roman" w:eastAsia="Times New Roman" w:hAnsi="Times New Roman" w:cs="Times New Roman"/>
      <w:i/>
      <w:iCs/>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D1F9E"/>
    <w:rPr>
      <w:rFonts w:ascii="Times New Roman" w:eastAsia="Times New Roman" w:hAnsi="Times New Roman" w:cs="Times New Roman"/>
      <w:i/>
      <w:iCs/>
      <w:sz w:val="24"/>
      <w:szCs w:val="24"/>
    </w:rPr>
  </w:style>
  <w:style w:type="table" w:styleId="TableGrid">
    <w:name w:val="Table Grid"/>
    <w:basedOn w:val="TableNormal"/>
    <w:uiPriority w:val="59"/>
    <w:rsid w:val="009D1F9E"/>
    <w:pPr>
      <w:spacing w:after="0" w:line="240" w:lineRule="auto"/>
    </w:pPr>
    <w:rPr>
      <w:lang w:val="en-IN"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9D1F9E"/>
    <w:pPr>
      <w:spacing w:after="120"/>
    </w:pPr>
    <w:rPr>
      <w:rFonts w:ascii="Calibri" w:eastAsia="Times New Roman" w:hAnsi="Calibri" w:cs="Gautami"/>
      <w:sz w:val="20"/>
      <w:szCs w:val="20"/>
      <w:lang w:val="en-US" w:bidi="ar-SA"/>
    </w:rPr>
  </w:style>
  <w:style w:type="character" w:customStyle="1" w:styleId="BodyTextChar">
    <w:name w:val="Body Text Char"/>
    <w:basedOn w:val="DefaultParagraphFont"/>
    <w:link w:val="BodyText"/>
    <w:rsid w:val="009D1F9E"/>
    <w:rPr>
      <w:rFonts w:ascii="Calibri" w:eastAsia="Times New Roman" w:hAnsi="Calibri" w:cs="Gautami"/>
      <w:sz w:val="20"/>
      <w:szCs w:val="20"/>
    </w:rPr>
  </w:style>
  <w:style w:type="paragraph" w:customStyle="1" w:styleId="b-d-txt">
    <w:name w:val="b-d-txt"/>
    <w:basedOn w:val="Normal"/>
    <w:link w:val="b-d-txtChar"/>
    <w:rsid w:val="009D1F9E"/>
    <w:pPr>
      <w:spacing w:before="60" w:after="60" w:line="480" w:lineRule="auto"/>
      <w:ind w:firstLine="720"/>
      <w:jc w:val="both"/>
    </w:pPr>
    <w:rPr>
      <w:rFonts w:ascii="Times New Roman" w:eastAsia="Times New Roman" w:hAnsi="Times New Roman" w:cs="Times New Roman"/>
      <w:sz w:val="24"/>
      <w:szCs w:val="24"/>
      <w:lang w:val="en-US" w:bidi="ar-SA"/>
    </w:rPr>
  </w:style>
  <w:style w:type="character" w:customStyle="1" w:styleId="b-d-txtChar">
    <w:name w:val="b-d-txt Char"/>
    <w:basedOn w:val="DefaultParagraphFont"/>
    <w:link w:val="b-d-txt"/>
    <w:rsid w:val="009D1F9E"/>
    <w:rPr>
      <w:rFonts w:ascii="Times New Roman" w:eastAsia="Times New Roman" w:hAnsi="Times New Roman" w:cs="Times New Roman"/>
      <w:sz w:val="24"/>
      <w:szCs w:val="24"/>
    </w:rPr>
  </w:style>
  <w:style w:type="paragraph" w:styleId="Footer">
    <w:name w:val="footer"/>
    <w:basedOn w:val="Normal"/>
    <w:link w:val="FooterChar"/>
    <w:unhideWhenUsed/>
    <w:rsid w:val="009D1F9E"/>
    <w:pPr>
      <w:tabs>
        <w:tab w:val="center" w:pos="4513"/>
        <w:tab w:val="right" w:pos="9026"/>
      </w:tabs>
      <w:spacing w:after="0" w:line="240" w:lineRule="auto"/>
    </w:pPr>
  </w:style>
  <w:style w:type="character" w:customStyle="1" w:styleId="FooterChar">
    <w:name w:val="Footer Char"/>
    <w:basedOn w:val="DefaultParagraphFont"/>
    <w:link w:val="Footer"/>
    <w:rsid w:val="009D1F9E"/>
    <w:rPr>
      <w:lang w:val="en-IN" w:bidi="ta-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2797</Characters>
  <Application>Microsoft Office Word</Application>
  <DocSecurity>0</DocSecurity>
  <Lines>23</Lines>
  <Paragraphs>6</Paragraphs>
  <ScaleCrop>false</ScaleCrop>
  <Company/>
  <LinksUpToDate>false</LinksUpToDate>
  <CharactersWithSpaces>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2017-06-01T06:22:00Z</dcterms:created>
  <dcterms:modified xsi:type="dcterms:W3CDTF">2017-06-01T06:22:00Z</dcterms:modified>
</cp:coreProperties>
</file>