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3C" w:rsidRDefault="0009643C" w:rsidP="0009643C">
      <w:pPr>
        <w:spacing w:after="0" w:line="360" w:lineRule="auto"/>
        <w:jc w:val="both"/>
        <w:rPr>
          <w:rFonts w:ascii="Times New Roman" w:hAnsi="Times New Roman" w:cs="Times New Roman"/>
          <w:b/>
          <w:bCs/>
        </w:rPr>
      </w:pPr>
      <w:r w:rsidRPr="002C58D8">
        <w:rPr>
          <w:rFonts w:ascii="Times New Roman" w:hAnsi="Times New Roman" w:cs="Times New Roman"/>
          <w:b/>
          <w:bCs/>
        </w:rPr>
        <w:t xml:space="preserve"> Effect of </w:t>
      </w:r>
      <w:proofErr w:type="spellStart"/>
      <w:r w:rsidRPr="002C58D8">
        <w:rPr>
          <w:rFonts w:ascii="Times New Roman" w:hAnsi="Times New Roman" w:cs="Times New Roman"/>
          <w:b/>
          <w:bCs/>
        </w:rPr>
        <w:t>Trichoderma</w:t>
      </w:r>
      <w:proofErr w:type="spellEnd"/>
      <w:r w:rsidRPr="002C58D8">
        <w:rPr>
          <w:rFonts w:ascii="Times New Roman" w:hAnsi="Times New Roman" w:cs="Times New Roman"/>
          <w:b/>
          <w:bCs/>
        </w:rPr>
        <w:t xml:space="preserve"> on drought stress alleviation in castor: (2012-13)</w:t>
      </w:r>
    </w:p>
    <w:p w:rsidR="0009643C" w:rsidRPr="002C58D8" w:rsidRDefault="0009643C" w:rsidP="0009643C">
      <w:pPr>
        <w:spacing w:after="0" w:line="360" w:lineRule="auto"/>
        <w:jc w:val="both"/>
        <w:rPr>
          <w:rFonts w:ascii="Times New Roman" w:hAnsi="Times New Roman" w:cs="Times New Roman"/>
          <w:b/>
          <w:bCs/>
        </w:rPr>
      </w:pPr>
    </w:p>
    <w:p w:rsidR="0009643C" w:rsidRDefault="0009643C" w:rsidP="0009643C">
      <w:pPr>
        <w:spacing w:line="360" w:lineRule="auto"/>
        <w:jc w:val="both"/>
        <w:rPr>
          <w:rFonts w:ascii="Times New Roman" w:hAnsi="Times New Roman" w:cs="Times New Roman"/>
        </w:rPr>
      </w:pPr>
      <w:r w:rsidRPr="002C58D8">
        <w:rPr>
          <w:rFonts w:ascii="Times New Roman" w:hAnsi="Times New Roman" w:cs="Times New Roman"/>
        </w:rPr>
        <w:t xml:space="preserve">An experiment was conducted using ten </w:t>
      </w:r>
      <w:proofErr w:type="spellStart"/>
      <w:r w:rsidRPr="002C58D8">
        <w:rPr>
          <w:rFonts w:ascii="Times New Roman" w:hAnsi="Times New Roman" w:cs="Times New Roman"/>
        </w:rPr>
        <w:t>trichoderma</w:t>
      </w:r>
      <w:proofErr w:type="spellEnd"/>
      <w:r w:rsidRPr="002C58D8">
        <w:rPr>
          <w:rFonts w:ascii="Times New Roman" w:hAnsi="Times New Roman" w:cs="Times New Roman"/>
        </w:rPr>
        <w:t xml:space="preserve"> isolates as seed treatment @10g per kg seed in DCH-519 castor hybrid during </w:t>
      </w:r>
      <w:proofErr w:type="spellStart"/>
      <w:r w:rsidRPr="002C58D8">
        <w:rPr>
          <w:rFonts w:ascii="Times New Roman" w:hAnsi="Times New Roman" w:cs="Times New Roman"/>
          <w:i/>
        </w:rPr>
        <w:t>rabi</w:t>
      </w:r>
      <w:proofErr w:type="spellEnd"/>
      <w:r w:rsidRPr="002C58D8">
        <w:rPr>
          <w:rFonts w:ascii="Times New Roman" w:hAnsi="Times New Roman" w:cs="Times New Roman"/>
          <w:i/>
        </w:rPr>
        <w:t>/summer</w:t>
      </w:r>
      <w:r w:rsidRPr="002C58D8">
        <w:rPr>
          <w:rFonts w:ascii="Times New Roman" w:hAnsi="Times New Roman" w:cs="Times New Roman"/>
        </w:rPr>
        <w:t xml:space="preserve">, 2012-13. Drought stress was imposed by withholding irrigation from 30-90DAS along with irrigated and untreated controls as checks. There was growth reduction due to water stress (reduction in plant height, leaf no., stem girth, branch production and TDM). In stressed plots, </w:t>
      </w:r>
      <w:proofErr w:type="spellStart"/>
      <w:r w:rsidRPr="002C58D8">
        <w:rPr>
          <w:rFonts w:ascii="Times New Roman" w:hAnsi="Times New Roman" w:cs="Times New Roman"/>
        </w:rPr>
        <w:t>trichoderma</w:t>
      </w:r>
      <w:proofErr w:type="spellEnd"/>
      <w:r w:rsidRPr="002C58D8">
        <w:rPr>
          <w:rFonts w:ascii="Times New Roman" w:hAnsi="Times New Roman" w:cs="Times New Roman"/>
        </w:rPr>
        <w:t xml:space="preserve"> seed treatment improved the crop growth and dry matter production compared to untreated control. But in irrigated plots, the effect of </w:t>
      </w:r>
      <w:proofErr w:type="spellStart"/>
      <w:r w:rsidRPr="002C58D8">
        <w:rPr>
          <w:rFonts w:ascii="Times New Roman" w:hAnsi="Times New Roman" w:cs="Times New Roman"/>
        </w:rPr>
        <w:t>trichoderma</w:t>
      </w:r>
      <w:proofErr w:type="spellEnd"/>
      <w:r w:rsidRPr="002C58D8">
        <w:rPr>
          <w:rFonts w:ascii="Times New Roman" w:hAnsi="Times New Roman" w:cs="Times New Roman"/>
        </w:rPr>
        <w:t xml:space="preserve"> is not significant. SCMR increased in drought stressed plots due to decreased leaf area and increased specific leaf weight. </w:t>
      </w:r>
    </w:p>
    <w:p w:rsidR="0009643C" w:rsidRPr="00B43C1A" w:rsidRDefault="0009643C" w:rsidP="0009643C">
      <w:pPr>
        <w:spacing w:line="360" w:lineRule="auto"/>
        <w:jc w:val="both"/>
        <w:rPr>
          <w:rFonts w:ascii="Times New Roman" w:hAnsi="Times New Roman" w:cs="Times New Roman"/>
        </w:rPr>
      </w:pPr>
      <w:r w:rsidRPr="00B43C1A">
        <w:rPr>
          <w:rFonts w:ascii="Times New Roman" w:eastAsia="Times New Roman" w:hAnsi="Times New Roman" w:cs="Times New Roman"/>
          <w:bCs/>
        </w:rPr>
        <w:t>Table 6: Seed yield of different order branches and total seed yield (</w:t>
      </w:r>
      <w:r w:rsidRPr="00B43C1A">
        <w:rPr>
          <w:rFonts w:ascii="Times New Roman" w:eastAsia="Times New Roman" w:hAnsi="Times New Roman" w:cs="Times New Roman"/>
        </w:rPr>
        <w:t>g/plant)</w:t>
      </w:r>
    </w:p>
    <w:tbl>
      <w:tblPr>
        <w:tblW w:w="97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365"/>
        <w:gridCol w:w="1038"/>
        <w:gridCol w:w="1116"/>
        <w:gridCol w:w="1009"/>
        <w:gridCol w:w="1316"/>
        <w:gridCol w:w="915"/>
        <w:gridCol w:w="1009"/>
        <w:gridCol w:w="1065"/>
      </w:tblGrid>
      <w:tr w:rsidR="0009643C" w:rsidRPr="00FF58A2" w:rsidTr="001909B4">
        <w:trPr>
          <w:trHeight w:val="300"/>
        </w:trPr>
        <w:tc>
          <w:tcPr>
            <w:tcW w:w="916" w:type="dxa"/>
            <w:vMerge w:val="restart"/>
            <w:shd w:val="clear" w:color="auto" w:fill="auto"/>
            <w:noWrap/>
            <w:vAlign w:val="bottom"/>
            <w:hideMark/>
          </w:tcPr>
          <w:p w:rsidR="0009643C" w:rsidRPr="00175D14" w:rsidRDefault="0009643C" w:rsidP="001909B4">
            <w:pPr>
              <w:spacing w:after="0" w:line="240" w:lineRule="auto"/>
              <w:jc w:val="both"/>
              <w:rPr>
                <w:rFonts w:ascii="Times New Roman" w:eastAsia="Times New Roman" w:hAnsi="Times New Roman" w:cs="Times New Roman"/>
                <w:b/>
              </w:rPr>
            </w:pPr>
            <w:proofErr w:type="spellStart"/>
            <w:r w:rsidRPr="00175D14">
              <w:rPr>
                <w:rFonts w:ascii="Times New Roman" w:eastAsia="Times New Roman" w:hAnsi="Times New Roman" w:cs="Times New Roman"/>
                <w:b/>
              </w:rPr>
              <w:t>S.No</w:t>
            </w:r>
            <w:proofErr w:type="spellEnd"/>
            <w:r w:rsidRPr="00175D14">
              <w:rPr>
                <w:rFonts w:ascii="Times New Roman" w:eastAsia="Times New Roman" w:hAnsi="Times New Roman" w:cs="Times New Roman"/>
                <w:b/>
              </w:rPr>
              <w:t>.</w:t>
            </w:r>
          </w:p>
        </w:tc>
        <w:tc>
          <w:tcPr>
            <w:tcW w:w="1365" w:type="dxa"/>
            <w:vMerge w:val="restart"/>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sz w:val="20"/>
                <w:szCs w:val="20"/>
              </w:rPr>
            </w:pPr>
            <w:proofErr w:type="spellStart"/>
            <w:r w:rsidRPr="00FF58A2">
              <w:rPr>
                <w:rFonts w:ascii="Times New Roman" w:eastAsia="Times New Roman" w:hAnsi="Times New Roman" w:cs="Times New Roman"/>
                <w:b/>
                <w:sz w:val="20"/>
                <w:szCs w:val="20"/>
              </w:rPr>
              <w:t>Trichoderma</w:t>
            </w:r>
            <w:proofErr w:type="spellEnd"/>
            <w:r w:rsidRPr="00FF58A2">
              <w:rPr>
                <w:rFonts w:ascii="Times New Roman" w:eastAsia="Times New Roman" w:hAnsi="Times New Roman" w:cs="Times New Roman"/>
                <w:b/>
                <w:sz w:val="20"/>
                <w:szCs w:val="20"/>
              </w:rPr>
              <w:t xml:space="preserve"> treatments</w:t>
            </w:r>
          </w:p>
        </w:tc>
        <w:tc>
          <w:tcPr>
            <w:tcW w:w="4479" w:type="dxa"/>
            <w:gridSpan w:val="4"/>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Seed yield of different order branches (g/pl.)</w:t>
            </w:r>
          </w:p>
        </w:tc>
        <w:tc>
          <w:tcPr>
            <w:tcW w:w="915" w:type="dxa"/>
            <w:vMerge w:val="restart"/>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proofErr w:type="gramStart"/>
            <w:r w:rsidRPr="00FF58A2">
              <w:rPr>
                <w:rFonts w:ascii="Times New Roman" w:eastAsia="Times New Roman" w:hAnsi="Times New Roman" w:cs="Times New Roman"/>
                <w:b/>
                <w:bCs/>
                <w:sz w:val="20"/>
                <w:szCs w:val="20"/>
              </w:rPr>
              <w:t>total</w:t>
            </w:r>
            <w:proofErr w:type="gramEnd"/>
            <w:r w:rsidRPr="00FF58A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seed yield (g/pl.)</w:t>
            </w:r>
          </w:p>
        </w:tc>
        <w:tc>
          <w:tcPr>
            <w:tcW w:w="1009" w:type="dxa"/>
            <w:vMerge w:val="restart"/>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TDM at harvest (g/pl.)</w:t>
            </w:r>
          </w:p>
        </w:tc>
        <w:tc>
          <w:tcPr>
            <w:tcW w:w="1065" w:type="dxa"/>
            <w:vMerge w:val="restart"/>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HI (%)</w:t>
            </w:r>
          </w:p>
        </w:tc>
      </w:tr>
      <w:tr w:rsidR="0009643C" w:rsidRPr="00FF58A2" w:rsidTr="001909B4">
        <w:trPr>
          <w:trHeight w:val="593"/>
        </w:trPr>
        <w:tc>
          <w:tcPr>
            <w:tcW w:w="916" w:type="dxa"/>
            <w:vMerge/>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365" w:type="dxa"/>
            <w:vMerge/>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sz w:val="20"/>
                <w:szCs w:val="20"/>
              </w:rPr>
            </w:pP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Primary</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Secondary</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r w:rsidRPr="00FF58A2">
              <w:rPr>
                <w:rFonts w:ascii="Times New Roman" w:eastAsia="Times New Roman" w:hAnsi="Times New Roman" w:cs="Times New Roman"/>
                <w:b/>
                <w:bCs/>
                <w:sz w:val="20"/>
                <w:szCs w:val="20"/>
              </w:rPr>
              <w:t>Tertiary</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proofErr w:type="spellStart"/>
            <w:r w:rsidRPr="00FF58A2">
              <w:rPr>
                <w:rFonts w:ascii="Times New Roman" w:eastAsia="Times New Roman" w:hAnsi="Times New Roman" w:cs="Times New Roman"/>
                <w:b/>
                <w:bCs/>
                <w:sz w:val="20"/>
                <w:szCs w:val="20"/>
              </w:rPr>
              <w:t>Quarternary</w:t>
            </w:r>
            <w:proofErr w:type="spellEnd"/>
          </w:p>
        </w:tc>
        <w:tc>
          <w:tcPr>
            <w:tcW w:w="915" w:type="dxa"/>
            <w:vMerge/>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sz w:val="20"/>
                <w:szCs w:val="20"/>
              </w:rPr>
            </w:pPr>
          </w:p>
        </w:tc>
        <w:tc>
          <w:tcPr>
            <w:tcW w:w="1009" w:type="dxa"/>
            <w:vMerge/>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rPr>
            </w:pPr>
          </w:p>
        </w:tc>
        <w:tc>
          <w:tcPr>
            <w:tcW w:w="1065" w:type="dxa"/>
            <w:vMerge/>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rPr>
            </w:pPr>
          </w:p>
        </w:tc>
      </w:tr>
      <w:tr w:rsidR="0009643C" w:rsidRPr="00FF58A2" w:rsidTr="001909B4">
        <w:trPr>
          <w:trHeight w:val="300"/>
        </w:trPr>
        <w:tc>
          <w:tcPr>
            <w:tcW w:w="2281" w:type="dxa"/>
            <w:gridSpan w:val="2"/>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Control</w:t>
            </w:r>
            <w:r>
              <w:rPr>
                <w:rFonts w:ascii="Times New Roman" w:eastAsia="Times New Roman" w:hAnsi="Times New Roman" w:cs="Times New Roman"/>
                <w:b/>
              </w:rPr>
              <w:t xml:space="preserve"> (irrigated)</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2</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75.3</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48.3</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22.0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45.2</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190.7</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559.2</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34.1</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5</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59.1</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53.9</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51.2</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197.2</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588.3</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33.5</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TA 2</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59.8</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53.7</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36.6</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44.6</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194.7</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611.9</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31.8</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79</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70.5</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52.1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30.2</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39.4</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192.1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590.3</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32.5</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KA 8D</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66.3</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61.0</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57.0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57.8</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242.1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641.0</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37.8</w:t>
            </w:r>
          </w:p>
        </w:tc>
      </w:tr>
      <w:tr w:rsidR="0009643C" w:rsidRPr="00FF58A2" w:rsidTr="001909B4">
        <w:trPr>
          <w:trHeight w:val="315"/>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673</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72.6</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54.2</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24.7</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60.2</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211.6</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624.0</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33.9</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7316</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58.7</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50.8</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20.6</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38.4</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168.6</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547.9</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30.8</w:t>
            </w:r>
          </w:p>
        </w:tc>
      </w:tr>
      <w:tr w:rsidR="0009643C" w:rsidRPr="00FF58A2" w:rsidTr="001909B4">
        <w:trPr>
          <w:trHeight w:val="315"/>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8</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roofErr w:type="spellStart"/>
            <w:r w:rsidRPr="00FF58A2">
              <w:rPr>
                <w:rFonts w:ascii="Times New Roman" w:eastAsia="Times New Roman" w:hAnsi="Times New Roman" w:cs="Times New Roman"/>
              </w:rPr>
              <w:t>Th</w:t>
            </w:r>
            <w:proofErr w:type="spellEnd"/>
            <w:r w:rsidRPr="00FF58A2">
              <w:rPr>
                <w:rFonts w:ascii="Times New Roman" w:eastAsia="Times New Roman" w:hAnsi="Times New Roman" w:cs="Times New Roman"/>
              </w:rPr>
              <w:t xml:space="preserve"> 4d</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49.4</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24.7</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29.0</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154.3</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541.4</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28.5</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9</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GJ 11A</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66.0</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54.9</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41.2</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38.2</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200.3</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543.8</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36.8</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10</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TN 13</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61.8</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51.0</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41.0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12.4</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166.2</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512.4</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32.4</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11</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untreated C</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70.0</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39.4</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21.3</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31.2</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161.8</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493.7</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32.8</w:t>
            </w:r>
          </w:p>
        </w:tc>
      </w:tr>
      <w:tr w:rsidR="0009643C" w:rsidRPr="00FF58A2" w:rsidTr="001909B4">
        <w:trPr>
          <w:trHeight w:val="300"/>
        </w:trPr>
        <w:tc>
          <w:tcPr>
            <w:tcW w:w="916"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i/>
              </w:rPr>
            </w:pPr>
          </w:p>
        </w:tc>
        <w:tc>
          <w:tcPr>
            <w:tcW w:w="136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average</w:t>
            </w:r>
          </w:p>
        </w:tc>
        <w:tc>
          <w:tcPr>
            <w:tcW w:w="1038"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64.5</w:t>
            </w:r>
          </w:p>
        </w:tc>
        <w:tc>
          <w:tcPr>
            <w:tcW w:w="1116"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51.8</w:t>
            </w:r>
          </w:p>
        </w:tc>
        <w:tc>
          <w:tcPr>
            <w:tcW w:w="1009"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32.0</w:t>
            </w:r>
          </w:p>
        </w:tc>
        <w:tc>
          <w:tcPr>
            <w:tcW w:w="1316"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40.7</w:t>
            </w:r>
          </w:p>
        </w:tc>
        <w:tc>
          <w:tcPr>
            <w:tcW w:w="91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189.0</w:t>
            </w:r>
          </w:p>
        </w:tc>
        <w:tc>
          <w:tcPr>
            <w:tcW w:w="1009"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568.5</w:t>
            </w:r>
          </w:p>
        </w:tc>
        <w:tc>
          <w:tcPr>
            <w:tcW w:w="106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33.2</w:t>
            </w:r>
          </w:p>
        </w:tc>
      </w:tr>
      <w:tr w:rsidR="0009643C" w:rsidRPr="00FF58A2" w:rsidTr="001909B4">
        <w:trPr>
          <w:trHeight w:val="300"/>
        </w:trPr>
        <w:tc>
          <w:tcPr>
            <w:tcW w:w="2281" w:type="dxa"/>
            <w:gridSpan w:val="2"/>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Drought </w:t>
            </w:r>
            <w:r w:rsidRPr="00FF58A2">
              <w:rPr>
                <w:rFonts w:ascii="Times New Roman" w:eastAsia="Times New Roman" w:hAnsi="Times New Roman" w:cs="Times New Roman"/>
                <w:b/>
              </w:rPr>
              <w:t>stress</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12</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2</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46.1</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51.1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53.2</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32.3</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182.7</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468.9</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39.0</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13</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TV 5</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39.5</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41.8</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66.7</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38.0</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186.1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595.5</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31.2</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14</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TA 2</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31.3</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49.6</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75.3</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32.3</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188.4</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572.1</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32.9</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15</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79</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25.0</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35.7</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62.4</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39.5</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162.6</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598.3</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27.2</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KA 8D</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30.5</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44.8</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53.0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33.8</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162.1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527.3</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30.7</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17</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673</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42.8</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55.6</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69.0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36.4</w:t>
            </w:r>
          </w:p>
        </w:tc>
        <w:tc>
          <w:tcPr>
            <w:tcW w:w="91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203.8</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552.2</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36.9</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 7316</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37.5</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39.1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71.8</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43.4</w:t>
            </w:r>
          </w:p>
        </w:tc>
        <w:tc>
          <w:tcPr>
            <w:tcW w:w="91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191.8</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596.2</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32.2</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19</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proofErr w:type="spellStart"/>
            <w:r w:rsidRPr="00FF58A2">
              <w:rPr>
                <w:rFonts w:ascii="Times New Roman" w:eastAsia="Times New Roman" w:hAnsi="Times New Roman" w:cs="Times New Roman"/>
              </w:rPr>
              <w:t>Th</w:t>
            </w:r>
            <w:proofErr w:type="spellEnd"/>
            <w:r w:rsidRPr="00FF58A2">
              <w:rPr>
                <w:rFonts w:ascii="Times New Roman" w:eastAsia="Times New Roman" w:hAnsi="Times New Roman" w:cs="Times New Roman"/>
              </w:rPr>
              <w:t xml:space="preserve"> 4d</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44.8</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55.1</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58.0</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13.6</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171.4</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622.6</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27.5</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20</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GJ 11A</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27.7</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38.2</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32.3</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18.7</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117.0</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472.9</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24.7</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21</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TN 13</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35.0</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50.7</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48.8</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34.0</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168.6</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604.7</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rPr>
            </w:pPr>
            <w:r w:rsidRPr="00FF58A2">
              <w:rPr>
                <w:rFonts w:ascii="Times New Roman" w:eastAsia="Times New Roman" w:hAnsi="Times New Roman" w:cs="Times New Roman"/>
              </w:rPr>
              <w:t>27.9</w:t>
            </w:r>
          </w:p>
        </w:tc>
      </w:tr>
      <w:tr w:rsidR="0009643C" w:rsidRPr="00FF58A2" w:rsidTr="001909B4">
        <w:trPr>
          <w:trHeight w:val="300"/>
        </w:trPr>
        <w:tc>
          <w:tcPr>
            <w:tcW w:w="9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22</w:t>
            </w:r>
          </w:p>
        </w:tc>
        <w:tc>
          <w:tcPr>
            <w:tcW w:w="13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untreated S</w:t>
            </w:r>
          </w:p>
        </w:tc>
        <w:tc>
          <w:tcPr>
            <w:tcW w:w="1038"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26.3</w:t>
            </w:r>
          </w:p>
        </w:tc>
        <w:tc>
          <w:tcPr>
            <w:tcW w:w="11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22.5</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17.8</w:t>
            </w:r>
          </w:p>
        </w:tc>
        <w:tc>
          <w:tcPr>
            <w:tcW w:w="1316"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15.3</w:t>
            </w:r>
          </w:p>
        </w:tc>
        <w:tc>
          <w:tcPr>
            <w:tcW w:w="91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81.9</w:t>
            </w:r>
          </w:p>
        </w:tc>
        <w:tc>
          <w:tcPr>
            <w:tcW w:w="1009"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277.4</w:t>
            </w:r>
          </w:p>
        </w:tc>
        <w:tc>
          <w:tcPr>
            <w:tcW w:w="1065" w:type="dxa"/>
            <w:shd w:val="clear" w:color="auto" w:fill="auto"/>
            <w:noWrap/>
            <w:vAlign w:val="bottom"/>
            <w:hideMark/>
          </w:tcPr>
          <w:p w:rsidR="0009643C" w:rsidRPr="00FF58A2" w:rsidRDefault="0009643C" w:rsidP="001909B4">
            <w:pPr>
              <w:spacing w:after="0" w:line="240" w:lineRule="auto"/>
              <w:jc w:val="both"/>
              <w:rPr>
                <w:rFonts w:ascii="Times New Roman" w:eastAsia="Times New Roman" w:hAnsi="Times New Roman" w:cs="Times New Roman"/>
                <w:b/>
              </w:rPr>
            </w:pPr>
            <w:r w:rsidRPr="00FF58A2">
              <w:rPr>
                <w:rFonts w:ascii="Times New Roman" w:eastAsia="Times New Roman" w:hAnsi="Times New Roman" w:cs="Times New Roman"/>
                <w:b/>
              </w:rPr>
              <w:t>29.5</w:t>
            </w:r>
          </w:p>
        </w:tc>
      </w:tr>
      <w:tr w:rsidR="0009643C" w:rsidRPr="00FF58A2" w:rsidTr="001909B4">
        <w:trPr>
          <w:trHeight w:val="300"/>
        </w:trPr>
        <w:tc>
          <w:tcPr>
            <w:tcW w:w="916"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i/>
              </w:rPr>
            </w:pPr>
          </w:p>
        </w:tc>
        <w:tc>
          <w:tcPr>
            <w:tcW w:w="136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average</w:t>
            </w:r>
          </w:p>
        </w:tc>
        <w:tc>
          <w:tcPr>
            <w:tcW w:w="1038"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35.1</w:t>
            </w:r>
          </w:p>
        </w:tc>
        <w:tc>
          <w:tcPr>
            <w:tcW w:w="1116"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43.3</w:t>
            </w:r>
          </w:p>
        </w:tc>
        <w:tc>
          <w:tcPr>
            <w:tcW w:w="1009"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55.3</w:t>
            </w:r>
          </w:p>
        </w:tc>
        <w:tc>
          <w:tcPr>
            <w:tcW w:w="1316"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30.5</w:t>
            </w:r>
          </w:p>
        </w:tc>
        <w:tc>
          <w:tcPr>
            <w:tcW w:w="91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163.4</w:t>
            </w:r>
          </w:p>
        </w:tc>
        <w:tc>
          <w:tcPr>
            <w:tcW w:w="1009"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535.3</w:t>
            </w:r>
          </w:p>
        </w:tc>
        <w:tc>
          <w:tcPr>
            <w:tcW w:w="1065" w:type="dxa"/>
            <w:shd w:val="clear" w:color="auto" w:fill="FFFFFF" w:themeFill="background1"/>
            <w:noWrap/>
            <w:vAlign w:val="bottom"/>
            <w:hideMark/>
          </w:tcPr>
          <w:p w:rsidR="0009643C" w:rsidRPr="00FF58A2" w:rsidRDefault="0009643C" w:rsidP="001909B4">
            <w:pPr>
              <w:spacing w:after="0" w:line="240" w:lineRule="auto"/>
              <w:jc w:val="both"/>
              <w:rPr>
                <w:rFonts w:ascii="Times New Roman" w:eastAsia="Times New Roman" w:hAnsi="Times New Roman" w:cs="Times New Roman"/>
                <w:b/>
                <w:bCs/>
                <w:i/>
              </w:rPr>
            </w:pPr>
            <w:r w:rsidRPr="00FF58A2">
              <w:rPr>
                <w:rFonts w:ascii="Times New Roman" w:eastAsia="Times New Roman" w:hAnsi="Times New Roman" w:cs="Times New Roman"/>
                <w:b/>
                <w:bCs/>
                <w:i/>
              </w:rPr>
              <w:t>30.1</w:t>
            </w:r>
          </w:p>
        </w:tc>
      </w:tr>
    </w:tbl>
    <w:p w:rsidR="0009643C" w:rsidRDefault="0009643C" w:rsidP="0009643C">
      <w:pPr>
        <w:spacing w:line="360" w:lineRule="auto"/>
        <w:jc w:val="both"/>
        <w:rPr>
          <w:rFonts w:ascii="Times New Roman" w:hAnsi="Times New Roman" w:cs="Times New Roman"/>
        </w:rPr>
      </w:pPr>
    </w:p>
    <w:p w:rsidR="0009643C" w:rsidRPr="002C58D8" w:rsidRDefault="0009643C" w:rsidP="0009643C">
      <w:pPr>
        <w:spacing w:line="360" w:lineRule="auto"/>
        <w:jc w:val="both"/>
        <w:rPr>
          <w:rFonts w:ascii="Times New Roman" w:hAnsi="Times New Roman" w:cs="Times New Roman"/>
        </w:rPr>
      </w:pPr>
      <w:r w:rsidRPr="002C58D8">
        <w:rPr>
          <w:rFonts w:ascii="Times New Roman" w:hAnsi="Times New Roman" w:cs="Times New Roman"/>
        </w:rPr>
        <w:t xml:space="preserve">In general, with water stress from 30-90DAS, there was reduction in seed yield of primaries, secondaries and total seed yield. </w:t>
      </w:r>
      <w:proofErr w:type="spellStart"/>
      <w:r w:rsidRPr="002C58D8">
        <w:rPr>
          <w:rFonts w:ascii="Times New Roman" w:hAnsi="Times New Roman" w:cs="Times New Roman"/>
        </w:rPr>
        <w:t>Trichoderma</w:t>
      </w:r>
      <w:proofErr w:type="spellEnd"/>
      <w:r w:rsidRPr="002C58D8">
        <w:rPr>
          <w:rFonts w:ascii="Times New Roman" w:hAnsi="Times New Roman" w:cs="Times New Roman"/>
        </w:rPr>
        <w:t xml:space="preserve"> seed treatment improved the seed yield of primaries, secondaries, </w:t>
      </w:r>
      <w:proofErr w:type="spellStart"/>
      <w:r w:rsidRPr="002C58D8">
        <w:rPr>
          <w:rFonts w:ascii="Times New Roman" w:hAnsi="Times New Roman" w:cs="Times New Roman"/>
        </w:rPr>
        <w:t>tertiaries</w:t>
      </w:r>
      <w:proofErr w:type="spellEnd"/>
      <w:r w:rsidRPr="002C58D8">
        <w:rPr>
          <w:rFonts w:ascii="Times New Roman" w:hAnsi="Times New Roman" w:cs="Times New Roman"/>
        </w:rPr>
        <w:t xml:space="preserve">, </w:t>
      </w:r>
      <w:proofErr w:type="spellStart"/>
      <w:r w:rsidRPr="002C58D8">
        <w:rPr>
          <w:rFonts w:ascii="Times New Roman" w:hAnsi="Times New Roman" w:cs="Times New Roman"/>
        </w:rPr>
        <w:t>quarternaries</w:t>
      </w:r>
      <w:proofErr w:type="spellEnd"/>
      <w:r w:rsidRPr="002C58D8">
        <w:rPr>
          <w:rFonts w:ascii="Times New Roman" w:hAnsi="Times New Roman" w:cs="Times New Roman"/>
        </w:rPr>
        <w:t xml:space="preserve"> and thereby total seed yield by increasing spike number, effective spike length, capsule number and test weight in stressed plots. However, there was variation in growth due to slope of the field which effected the growth of untreated plots. Hence, the effect of </w:t>
      </w:r>
      <w:proofErr w:type="spellStart"/>
      <w:r w:rsidRPr="002C58D8">
        <w:rPr>
          <w:rFonts w:ascii="Times New Roman" w:hAnsi="Times New Roman" w:cs="Times New Roman"/>
        </w:rPr>
        <w:t>trichoderma</w:t>
      </w:r>
      <w:proofErr w:type="spellEnd"/>
      <w:r w:rsidRPr="002C58D8">
        <w:rPr>
          <w:rFonts w:ascii="Times New Roman" w:hAnsi="Times New Roman" w:cs="Times New Roman"/>
        </w:rPr>
        <w:t xml:space="preserve"> strains on drought stress alleviation needs confirmation. T673 and T7316 isolates recorded more total seed yield followed by TV2, TV5 and TA2 in stressed plots.</w:t>
      </w:r>
      <w:r>
        <w:rPr>
          <w:rFonts w:ascii="Times New Roman" w:hAnsi="Times New Roman" w:cs="Times New Roman"/>
        </w:rPr>
        <w:t xml:space="preserve"> Further studies on effect of </w:t>
      </w:r>
      <w:proofErr w:type="spellStart"/>
      <w:r>
        <w:rPr>
          <w:rFonts w:ascii="Times New Roman" w:hAnsi="Times New Roman" w:cs="Times New Roman"/>
        </w:rPr>
        <w:t>trichoderma</w:t>
      </w:r>
      <w:proofErr w:type="spellEnd"/>
      <w:r>
        <w:rPr>
          <w:rFonts w:ascii="Times New Roman" w:hAnsi="Times New Roman" w:cs="Times New Roman"/>
        </w:rPr>
        <w:t xml:space="preserve"> on drought stress alleviation were being carried out in AMAAS project.</w:t>
      </w:r>
    </w:p>
    <w:p w:rsidR="006841D0" w:rsidRDefault="006841D0"/>
    <w:sectPr w:rsidR="006841D0" w:rsidSect="00684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643C"/>
    <w:rsid w:val="0009643C"/>
    <w:rsid w:val="00684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3C"/>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2017-04-30T03:05:00Z</dcterms:created>
  <dcterms:modified xsi:type="dcterms:W3CDTF">2017-04-30T03:05:00Z</dcterms:modified>
</cp:coreProperties>
</file>