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CD" w:rsidRPr="00A6570E" w:rsidRDefault="00BF60CD" w:rsidP="00BF60CD">
      <w:pPr>
        <w:ind w:left="720" w:hanging="720"/>
        <w:jc w:val="both"/>
        <w:rPr>
          <w:sz w:val="22"/>
          <w:szCs w:val="22"/>
        </w:rPr>
      </w:pPr>
      <w:proofErr w:type="gramStart"/>
      <w:r>
        <w:rPr>
          <w:b/>
          <w:sz w:val="22"/>
          <w:szCs w:val="22"/>
        </w:rPr>
        <w:t>Title :</w:t>
      </w:r>
      <w:proofErr w:type="gramEnd"/>
      <w:r>
        <w:rPr>
          <w:b/>
          <w:sz w:val="22"/>
          <w:szCs w:val="22"/>
        </w:rPr>
        <w:t xml:space="preserve"> </w:t>
      </w:r>
      <w:r w:rsidRPr="00A6570E">
        <w:rPr>
          <w:b/>
          <w:sz w:val="22"/>
          <w:szCs w:val="22"/>
        </w:rPr>
        <w:t>S</w:t>
      </w:r>
      <w:r w:rsidRPr="00A6570E">
        <w:rPr>
          <w:b/>
          <w:bCs/>
          <w:sz w:val="22"/>
          <w:szCs w:val="22"/>
        </w:rPr>
        <w:t>oybean variety Dsb-21 for protein enhancement</w:t>
      </w:r>
    </w:p>
    <w:p w:rsidR="00BF60CD" w:rsidRPr="00A6570E" w:rsidRDefault="00BF60CD" w:rsidP="00BF60CD">
      <w:pPr>
        <w:ind w:left="720" w:hanging="720"/>
        <w:jc w:val="both"/>
        <w:rPr>
          <w:sz w:val="22"/>
          <w:szCs w:val="22"/>
        </w:rPr>
      </w:pPr>
    </w:p>
    <w:p w:rsidR="00BF60CD" w:rsidRPr="00A6570E" w:rsidRDefault="00BF60CD" w:rsidP="00BF60CD">
      <w:pPr>
        <w:ind w:left="720" w:hanging="720"/>
        <w:jc w:val="both"/>
        <w:rPr>
          <w:sz w:val="22"/>
          <w:szCs w:val="22"/>
        </w:rPr>
      </w:pPr>
      <w:r w:rsidRPr="00A6570E">
        <w:rPr>
          <w:b/>
          <w:sz w:val="22"/>
          <w:szCs w:val="22"/>
        </w:rPr>
        <w:t>Background:</w:t>
      </w:r>
      <w:r w:rsidRPr="00A6570E">
        <w:rPr>
          <w:sz w:val="22"/>
          <w:szCs w:val="22"/>
        </w:rPr>
        <w:t xml:space="preserve"> </w:t>
      </w:r>
      <w:r w:rsidRPr="00A6570E">
        <w:rPr>
          <w:bCs/>
          <w:sz w:val="22"/>
          <w:szCs w:val="22"/>
        </w:rPr>
        <w:t xml:space="preserve">Bailhongal </w:t>
      </w:r>
      <w:proofErr w:type="spellStart"/>
      <w:r w:rsidRPr="00A6570E">
        <w:rPr>
          <w:bCs/>
          <w:sz w:val="22"/>
          <w:szCs w:val="22"/>
        </w:rPr>
        <w:t>taluk</w:t>
      </w:r>
      <w:proofErr w:type="spellEnd"/>
      <w:r w:rsidRPr="00A6570E">
        <w:rPr>
          <w:bCs/>
          <w:sz w:val="22"/>
          <w:szCs w:val="22"/>
        </w:rPr>
        <w:t xml:space="preserve"> is known for the production of soybean. Majority of the farmers are cultivating JS-335 variety of soybean which is prone to pod shattering and susceptible to rust. Realizing the gravity of the problem of the farmers, KVK has demonstrated new variety Dsb-21.</w:t>
      </w:r>
    </w:p>
    <w:p w:rsidR="00BF60CD" w:rsidRPr="00A6570E" w:rsidRDefault="00BF60CD" w:rsidP="00BF60CD">
      <w:pPr>
        <w:ind w:left="720" w:hanging="720"/>
        <w:jc w:val="both"/>
        <w:rPr>
          <w:sz w:val="22"/>
          <w:szCs w:val="22"/>
        </w:rPr>
      </w:pPr>
    </w:p>
    <w:p w:rsidR="00BF60CD" w:rsidRPr="00A6570E" w:rsidRDefault="00BF60CD" w:rsidP="00BF60CD">
      <w:pPr>
        <w:ind w:left="720" w:hanging="720"/>
        <w:jc w:val="both"/>
        <w:rPr>
          <w:sz w:val="22"/>
          <w:szCs w:val="22"/>
        </w:rPr>
      </w:pPr>
      <w:r w:rsidRPr="00A6570E">
        <w:rPr>
          <w:b/>
          <w:sz w:val="22"/>
          <w:szCs w:val="22"/>
        </w:rPr>
        <w:t>Interventions:</w:t>
      </w:r>
      <w:r w:rsidRPr="00A6570E">
        <w:rPr>
          <w:sz w:val="22"/>
          <w:szCs w:val="22"/>
        </w:rPr>
        <w:t xml:space="preserve"> Demonstrations were taken at </w:t>
      </w:r>
      <w:proofErr w:type="spellStart"/>
      <w:r w:rsidRPr="00A6570E">
        <w:rPr>
          <w:sz w:val="22"/>
          <w:szCs w:val="22"/>
        </w:rPr>
        <w:t>Chikkabagewadi</w:t>
      </w:r>
      <w:proofErr w:type="spellEnd"/>
      <w:r w:rsidRPr="00A6570E">
        <w:rPr>
          <w:sz w:val="22"/>
          <w:szCs w:val="22"/>
        </w:rPr>
        <w:t xml:space="preserve">, </w:t>
      </w:r>
      <w:proofErr w:type="spellStart"/>
      <w:r w:rsidRPr="00A6570E">
        <w:rPr>
          <w:sz w:val="22"/>
          <w:szCs w:val="22"/>
        </w:rPr>
        <w:t>Mattikopp</w:t>
      </w:r>
      <w:proofErr w:type="spellEnd"/>
      <w:r w:rsidRPr="00A6570E">
        <w:rPr>
          <w:sz w:val="22"/>
          <w:szCs w:val="22"/>
        </w:rPr>
        <w:t xml:space="preserve">, </w:t>
      </w:r>
      <w:proofErr w:type="spellStart"/>
      <w:r w:rsidRPr="00A6570E">
        <w:rPr>
          <w:sz w:val="22"/>
          <w:szCs w:val="22"/>
        </w:rPr>
        <w:t>Sampagaon</w:t>
      </w:r>
      <w:proofErr w:type="spellEnd"/>
      <w:r w:rsidRPr="00A6570E">
        <w:rPr>
          <w:sz w:val="22"/>
          <w:szCs w:val="22"/>
        </w:rPr>
        <w:t xml:space="preserve"> and </w:t>
      </w:r>
      <w:proofErr w:type="spellStart"/>
      <w:r w:rsidRPr="00A6570E">
        <w:rPr>
          <w:sz w:val="22"/>
          <w:szCs w:val="22"/>
        </w:rPr>
        <w:t>Deshanur</w:t>
      </w:r>
      <w:proofErr w:type="spellEnd"/>
      <w:r w:rsidRPr="00A6570E">
        <w:rPr>
          <w:sz w:val="22"/>
          <w:szCs w:val="22"/>
        </w:rPr>
        <w:t xml:space="preserve"> villages of Bailhongal </w:t>
      </w:r>
      <w:proofErr w:type="spellStart"/>
      <w:r w:rsidRPr="00A6570E">
        <w:rPr>
          <w:sz w:val="22"/>
          <w:szCs w:val="22"/>
        </w:rPr>
        <w:t>taluk</w:t>
      </w:r>
      <w:proofErr w:type="spellEnd"/>
      <w:r w:rsidRPr="00A6570E">
        <w:rPr>
          <w:sz w:val="22"/>
          <w:szCs w:val="22"/>
        </w:rPr>
        <w:t xml:space="preserve"> involving 31 farmers</w:t>
      </w:r>
    </w:p>
    <w:p w:rsidR="00BF60CD" w:rsidRPr="00A6570E" w:rsidRDefault="00BF60CD" w:rsidP="00BF60CD">
      <w:pPr>
        <w:ind w:left="720" w:hanging="720"/>
        <w:jc w:val="both"/>
        <w:rPr>
          <w:sz w:val="22"/>
          <w:szCs w:val="22"/>
        </w:rPr>
      </w:pPr>
    </w:p>
    <w:p w:rsidR="00BF60CD" w:rsidRPr="00A6570E" w:rsidRDefault="00BF60CD" w:rsidP="00BF60CD">
      <w:pPr>
        <w:ind w:left="720" w:hanging="720"/>
        <w:jc w:val="both"/>
        <w:rPr>
          <w:sz w:val="22"/>
          <w:szCs w:val="22"/>
        </w:rPr>
      </w:pPr>
      <w:r w:rsidRPr="00A6570E">
        <w:rPr>
          <w:b/>
          <w:sz w:val="22"/>
          <w:szCs w:val="22"/>
        </w:rPr>
        <w:t>Process:</w:t>
      </w:r>
      <w:r w:rsidRPr="00A6570E">
        <w:rPr>
          <w:sz w:val="22"/>
          <w:szCs w:val="22"/>
        </w:rPr>
        <w:t xml:space="preserve"> KVK imparted training to the farmers on seed treatment with bio-fertilizers, use of macro and micro nutrients &amp; environment friendly plant protection measures</w:t>
      </w:r>
    </w:p>
    <w:p w:rsidR="00BF60CD" w:rsidRPr="00A6570E" w:rsidRDefault="00BF60CD" w:rsidP="00BF60CD">
      <w:pPr>
        <w:ind w:left="720" w:hanging="720"/>
        <w:jc w:val="both"/>
        <w:rPr>
          <w:sz w:val="22"/>
          <w:szCs w:val="22"/>
        </w:rPr>
      </w:pPr>
    </w:p>
    <w:p w:rsidR="00BF60CD" w:rsidRPr="00A6570E" w:rsidRDefault="00BF60CD" w:rsidP="00BF60CD">
      <w:pPr>
        <w:ind w:left="720" w:hanging="720"/>
        <w:jc w:val="both"/>
        <w:rPr>
          <w:sz w:val="22"/>
          <w:szCs w:val="22"/>
        </w:rPr>
      </w:pPr>
      <w:r w:rsidRPr="00A6570E">
        <w:rPr>
          <w:b/>
          <w:sz w:val="22"/>
          <w:szCs w:val="22"/>
        </w:rPr>
        <w:t>Technology:</w:t>
      </w:r>
      <w:r w:rsidRPr="00A6570E">
        <w:rPr>
          <w:sz w:val="22"/>
          <w:szCs w:val="22"/>
        </w:rPr>
        <w:t xml:space="preserve"> Integrated crop management in Soybean (agronomic practices like weed and water management, nutrient management through foliar application, environment friendly and cost effective plant protection measures) </w:t>
      </w:r>
    </w:p>
    <w:p w:rsidR="00BF60CD" w:rsidRPr="00A6570E" w:rsidRDefault="00BF60CD" w:rsidP="00BF60CD">
      <w:pPr>
        <w:ind w:left="720" w:hanging="720"/>
        <w:jc w:val="both"/>
        <w:rPr>
          <w:sz w:val="22"/>
          <w:szCs w:val="22"/>
        </w:rPr>
      </w:pPr>
    </w:p>
    <w:p w:rsidR="00BF60CD" w:rsidRPr="00A6570E" w:rsidRDefault="00BF60CD" w:rsidP="00BF60CD">
      <w:pPr>
        <w:ind w:left="720" w:hanging="720"/>
        <w:jc w:val="both"/>
        <w:rPr>
          <w:b/>
          <w:sz w:val="22"/>
          <w:szCs w:val="22"/>
        </w:rPr>
      </w:pPr>
      <w:r w:rsidRPr="00A6570E">
        <w:rPr>
          <w:b/>
          <w:sz w:val="22"/>
          <w:szCs w:val="22"/>
        </w:rPr>
        <w:t>Impact</w:t>
      </w:r>
    </w:p>
    <w:p w:rsidR="00BF60CD" w:rsidRPr="00A6570E" w:rsidRDefault="00BF60CD" w:rsidP="00BF60CD">
      <w:pPr>
        <w:ind w:left="720"/>
        <w:rPr>
          <w:bCs/>
          <w:sz w:val="22"/>
          <w:szCs w:val="22"/>
        </w:rPr>
      </w:pPr>
      <w:r w:rsidRPr="00A6570E">
        <w:rPr>
          <w:b/>
          <w:sz w:val="22"/>
          <w:szCs w:val="22"/>
        </w:rPr>
        <w:t>Horizontal Spread:</w:t>
      </w:r>
      <w:r w:rsidRPr="00A6570E">
        <w:rPr>
          <w:sz w:val="22"/>
          <w:szCs w:val="22"/>
        </w:rPr>
        <w:t xml:space="preserve"> </w:t>
      </w:r>
      <w:r w:rsidRPr="00A6570E">
        <w:rPr>
          <w:bCs/>
          <w:sz w:val="22"/>
          <w:szCs w:val="22"/>
        </w:rPr>
        <w:t>Dsb-21 resistant to rust and tolerant to pod shattering was conducted in 160 farmers fields covering of 67.40 ha along with participatory seed production. This has resulted in an area expansion of 650 ha with a production of 13,000 q and increase in productivity from 15-20 q/ha.</w:t>
      </w:r>
    </w:p>
    <w:p w:rsidR="00BF60CD" w:rsidRPr="00A6570E" w:rsidRDefault="00BF60CD" w:rsidP="00BF60CD">
      <w:pPr>
        <w:ind w:firstLine="720"/>
        <w:jc w:val="both"/>
        <w:rPr>
          <w:b/>
          <w:sz w:val="22"/>
          <w:szCs w:val="22"/>
        </w:rPr>
      </w:pPr>
    </w:p>
    <w:p w:rsidR="00BF60CD" w:rsidRPr="00A6570E" w:rsidRDefault="00BF60CD" w:rsidP="00BF60CD">
      <w:pPr>
        <w:ind w:firstLine="720"/>
        <w:jc w:val="both"/>
        <w:rPr>
          <w:bCs/>
          <w:sz w:val="22"/>
          <w:szCs w:val="22"/>
          <w:lang w:val="en-GB"/>
        </w:rPr>
      </w:pPr>
      <w:r w:rsidRPr="00A6570E">
        <w:rPr>
          <w:b/>
          <w:sz w:val="22"/>
          <w:szCs w:val="22"/>
        </w:rPr>
        <w:t>Economic gains:</w:t>
      </w:r>
      <w:r w:rsidRPr="00A6570E">
        <w:rPr>
          <w:sz w:val="22"/>
          <w:szCs w:val="22"/>
        </w:rPr>
        <w:t xml:space="preserve"> </w:t>
      </w:r>
      <w:r w:rsidRPr="00A6570E">
        <w:rPr>
          <w:bCs/>
          <w:sz w:val="22"/>
          <w:szCs w:val="22"/>
          <w:lang w:val="en-GB"/>
        </w:rPr>
        <w:t xml:space="preserve">The total additional returns gained is Rs. 1.20 </w:t>
      </w:r>
      <w:proofErr w:type="spellStart"/>
      <w:r w:rsidRPr="00A6570E">
        <w:rPr>
          <w:bCs/>
          <w:sz w:val="22"/>
          <w:szCs w:val="22"/>
          <w:lang w:val="en-GB"/>
        </w:rPr>
        <w:t>crores</w:t>
      </w:r>
      <w:proofErr w:type="spellEnd"/>
      <w:r w:rsidRPr="00A6570E">
        <w:rPr>
          <w:bCs/>
          <w:sz w:val="22"/>
          <w:szCs w:val="22"/>
          <w:lang w:val="en-GB"/>
        </w:rPr>
        <w:t xml:space="preserve"> due to varietal  </w:t>
      </w:r>
    </w:p>
    <w:p w:rsidR="00BF60CD" w:rsidRPr="00A6570E" w:rsidRDefault="00BF60CD" w:rsidP="00BF60CD">
      <w:pPr>
        <w:ind w:firstLine="720"/>
        <w:jc w:val="both"/>
        <w:rPr>
          <w:sz w:val="22"/>
          <w:szCs w:val="22"/>
        </w:rPr>
      </w:pPr>
      <w:proofErr w:type="gramStart"/>
      <w:r w:rsidRPr="00A6570E">
        <w:rPr>
          <w:bCs/>
          <w:sz w:val="22"/>
          <w:szCs w:val="22"/>
          <w:lang w:val="en-GB"/>
        </w:rPr>
        <w:t>replacement</w:t>
      </w:r>
      <w:proofErr w:type="gramEnd"/>
    </w:p>
    <w:p w:rsidR="00BF60CD" w:rsidRDefault="00BF60CD" w:rsidP="00BF60CD">
      <w:pPr>
        <w:ind w:firstLine="720"/>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0"/>
        <w:gridCol w:w="4551"/>
      </w:tblGrid>
      <w:tr w:rsidR="00BF60CD" w:rsidRPr="00E535F5" w:rsidTr="00D447C6">
        <w:tc>
          <w:tcPr>
            <w:tcW w:w="4730" w:type="dxa"/>
          </w:tcPr>
          <w:p w:rsidR="00BF60CD" w:rsidRPr="00E535F5" w:rsidRDefault="00BF60CD" w:rsidP="00D447C6">
            <w:pPr>
              <w:jc w:val="center"/>
            </w:pPr>
            <w:r w:rsidRPr="00E535F5">
              <w:rPr>
                <w:noProof/>
              </w:rPr>
              <w:drawing>
                <wp:inline distT="0" distB="0" distL="0" distR="0">
                  <wp:extent cx="2711958" cy="1627632"/>
                  <wp:effectExtent l="19050" t="0" r="0" b="0"/>
                  <wp:docPr id="3386" name="Picture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BBC4B96-C441-4FD0-BB09-239D93CBD636}"/>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BBC4B96-C441-4FD0-BB09-239D93CBD636}"/>
                              </a:ext>
                            </a:extLst>
                          </pic:cNvPr>
                          <pic:cNvPicPr>
                            <a:picLocks noChangeAspect="1"/>
                          </pic:cNvPicPr>
                        </pic:nvPicPr>
                        <pic:blipFill>
                          <a:blip r:embed="rId4"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723179" cy="1634366"/>
                          </a:xfrm>
                          <a:prstGeom prst="rect">
                            <a:avLst/>
                          </a:prstGeom>
                          <a:ln>
                            <a:noFill/>
                          </a:ln>
                          <a:effectLst/>
                        </pic:spPr>
                      </pic:pic>
                    </a:graphicData>
                  </a:graphic>
                </wp:inline>
              </w:drawing>
            </w:r>
          </w:p>
        </w:tc>
        <w:tc>
          <w:tcPr>
            <w:tcW w:w="4551" w:type="dxa"/>
          </w:tcPr>
          <w:p w:rsidR="00BF60CD" w:rsidRPr="00E535F5" w:rsidRDefault="00BF60CD" w:rsidP="00D447C6">
            <w:pPr>
              <w:jc w:val="center"/>
            </w:pPr>
            <w:r w:rsidRPr="00E535F5">
              <w:rPr>
                <w:noProof/>
              </w:rPr>
              <w:drawing>
                <wp:inline distT="0" distB="0" distL="0" distR="0">
                  <wp:extent cx="2639568" cy="1627632"/>
                  <wp:effectExtent l="19050" t="0" r="8382" b="0"/>
                  <wp:docPr id="3387" name="Picture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349E11E-89AC-42BD-9811-82D9CE15BAC6}"/>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349E11E-89AC-42BD-9811-82D9CE15BAC6}"/>
                              </a:ext>
                            </a:extLst>
                          </pic:cNvPr>
                          <pic:cNvPicPr>
                            <a:picLocks noChangeAspect="1"/>
                          </pic:cNvPicPr>
                        </pic:nvPicPr>
                        <pic:blipFill>
                          <a:blip r:embed="rId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flipH="1">
                            <a:off x="0" y="0"/>
                            <a:ext cx="2641853" cy="1629041"/>
                          </a:xfrm>
                          <a:prstGeom prst="rect">
                            <a:avLst/>
                          </a:prstGeom>
                          <a:ln>
                            <a:noFill/>
                          </a:ln>
                          <a:effectLst/>
                        </pic:spPr>
                      </pic:pic>
                    </a:graphicData>
                  </a:graphic>
                </wp:inline>
              </w:drawing>
            </w:r>
          </w:p>
        </w:tc>
      </w:tr>
      <w:tr w:rsidR="00BF60CD" w:rsidRPr="00E535F5" w:rsidTr="00D447C6">
        <w:tc>
          <w:tcPr>
            <w:tcW w:w="9281" w:type="dxa"/>
            <w:gridSpan w:val="2"/>
          </w:tcPr>
          <w:p w:rsidR="00BF60CD" w:rsidRPr="00E535F5" w:rsidRDefault="00BF60CD" w:rsidP="00D447C6">
            <w:pPr>
              <w:jc w:val="center"/>
              <w:rPr>
                <w:b/>
              </w:rPr>
            </w:pPr>
            <w:r w:rsidRPr="00642185">
              <w:rPr>
                <w:rFonts w:eastAsia="Calibri"/>
                <w:b/>
              </w:rPr>
              <w:t xml:space="preserve">A view of field performance of soybean variety </w:t>
            </w:r>
            <w:r w:rsidRPr="00642185">
              <w:rPr>
                <w:b/>
                <w:bCs/>
              </w:rPr>
              <w:t>Dsb-21</w:t>
            </w:r>
          </w:p>
        </w:tc>
      </w:tr>
    </w:tbl>
    <w:p w:rsidR="00BF60CD" w:rsidRDefault="00BF60CD" w:rsidP="00BF60CD">
      <w:pPr>
        <w:ind w:firstLine="720"/>
        <w:rPr>
          <w:b/>
          <w:sz w:val="22"/>
          <w:szCs w:val="22"/>
        </w:rPr>
      </w:pPr>
    </w:p>
    <w:p w:rsidR="00BF60CD" w:rsidRDefault="00BF60CD" w:rsidP="00BF60CD">
      <w:pPr>
        <w:jc w:val="center"/>
        <w:rPr>
          <w:b/>
          <w:bCs/>
        </w:rPr>
      </w:pPr>
      <w:r w:rsidRPr="00286C8F">
        <w:rPr>
          <w:b/>
          <w:bCs/>
          <w:noProof/>
        </w:rPr>
        <w:lastRenderedPageBreak/>
        <w:drawing>
          <wp:inline distT="0" distB="0" distL="0" distR="0">
            <wp:extent cx="5237607" cy="2886964"/>
            <wp:effectExtent l="19050" t="0" r="20193" b="8636"/>
            <wp:docPr id="34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F60CD" w:rsidRDefault="00BF60CD" w:rsidP="00BF60CD">
      <w:pPr>
        <w:jc w:val="center"/>
        <w:rPr>
          <w:b/>
          <w:bCs/>
        </w:rPr>
      </w:pPr>
      <w:r w:rsidRPr="00286C8F">
        <w:rPr>
          <w:b/>
          <w:bCs/>
        </w:rPr>
        <w:t>Year-wise area expansion of soybean variety Dsb-21 in Belagavi</w:t>
      </w:r>
    </w:p>
    <w:p w:rsidR="00FF2C4D" w:rsidRDefault="00FF2C4D"/>
    <w:sectPr w:rsidR="00FF2C4D" w:rsidSect="00FF2C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F60CD"/>
    <w:rsid w:val="002A70DD"/>
    <w:rsid w:val="00BF60CD"/>
    <w:rsid w:val="00F2260C"/>
    <w:rsid w:val="00FF2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0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0CD"/>
    <w:rPr>
      <w:rFonts w:ascii="Tahoma" w:hAnsi="Tahoma" w:cs="Tahoma"/>
      <w:sz w:val="16"/>
      <w:szCs w:val="16"/>
    </w:rPr>
  </w:style>
  <w:style w:type="character" w:customStyle="1" w:styleId="BalloonTextChar">
    <w:name w:val="Balloon Text Char"/>
    <w:basedOn w:val="DefaultParagraphFont"/>
    <w:link w:val="BalloonText"/>
    <w:uiPriority w:val="99"/>
    <w:semiHidden/>
    <w:rsid w:val="00BF60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KVK\KVK%20Award\New%20folder\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IN" sz="1400"/>
              <a:t>Horizontal</a:t>
            </a:r>
            <a:r>
              <a:rPr lang="en-IN" sz="1400" baseline="0"/>
              <a:t> spread of Soybean var. Dsb-21</a:t>
            </a:r>
            <a:endParaRPr lang="en-IN" sz="1400"/>
          </a:p>
        </c:rich>
      </c:tx>
      <c:overlay val="1"/>
    </c:title>
    <c:view3D>
      <c:rAngAx val="1"/>
    </c:view3D>
    <c:plotArea>
      <c:layout>
        <c:manualLayout>
          <c:layoutTarget val="inner"/>
          <c:xMode val="edge"/>
          <c:yMode val="edge"/>
          <c:x val="0.11102777777777778"/>
          <c:y val="4.1785375118708452E-2"/>
          <c:w val="0.8889721329212481"/>
          <c:h val="0.83867046533713263"/>
        </c:manualLayout>
      </c:layout>
      <c:bar3DChart>
        <c:barDir val="col"/>
        <c:grouping val="clustered"/>
        <c:ser>
          <c:idx val="0"/>
          <c:order val="0"/>
          <c:tx>
            <c:strRef>
              <c:f>Sheet3!$C$3</c:f>
              <c:strCache>
                <c:ptCount val="1"/>
                <c:pt idx="0">
                  <c:v>Area(ha)</c:v>
                </c:pt>
              </c:strCache>
            </c:strRef>
          </c:tx>
          <c:dLbls>
            <c:spPr>
              <a:noFill/>
              <a:ln>
                <a:noFill/>
              </a:ln>
              <a:effectLst/>
            </c:spPr>
            <c:txPr>
              <a:bodyPr/>
              <a:lstStyle/>
              <a:p>
                <a:pPr>
                  <a:defRPr lang="en-IN"/>
                </a:pPr>
                <a:endParaRPr lang="en-US"/>
              </a:p>
            </c:txPr>
            <c:showVal val="1"/>
            <c:extLst xmlns:c16r2="http://schemas.microsoft.com/office/drawing/2015/06/chart">
              <c:ext xmlns:c15="http://schemas.microsoft.com/office/drawing/2012/chart" uri="{CE6537A1-D6FC-4f65-9D91-7224C49458BB}">
                <c15:showLeaderLines val="0"/>
              </c:ext>
            </c:extLst>
          </c:dLbls>
          <c:cat>
            <c:strRef>
              <c:f>Sheet3!$B$4:$B$8</c:f>
              <c:strCache>
                <c:ptCount val="5"/>
                <c:pt idx="0">
                  <c:v>2015-16</c:v>
                </c:pt>
                <c:pt idx="1">
                  <c:v>2016-17</c:v>
                </c:pt>
                <c:pt idx="2">
                  <c:v>2017-18</c:v>
                </c:pt>
                <c:pt idx="3">
                  <c:v>2018-19</c:v>
                </c:pt>
                <c:pt idx="4">
                  <c:v>2019-20</c:v>
                </c:pt>
              </c:strCache>
            </c:strRef>
          </c:cat>
          <c:val>
            <c:numRef>
              <c:f>Sheet3!$C$4:$C$8</c:f>
              <c:numCache>
                <c:formatCode>General</c:formatCode>
                <c:ptCount val="5"/>
                <c:pt idx="0">
                  <c:v>128</c:v>
                </c:pt>
                <c:pt idx="1">
                  <c:v>392</c:v>
                </c:pt>
                <c:pt idx="2">
                  <c:v>480</c:v>
                </c:pt>
                <c:pt idx="3">
                  <c:v>560</c:v>
                </c:pt>
                <c:pt idx="4">
                  <c:v>650</c:v>
                </c:pt>
              </c:numCache>
            </c:numRef>
          </c:val>
          <c:extLst xmlns:c16r2="http://schemas.microsoft.com/office/drawing/2015/06/chart">
            <c:ext xmlns:c16="http://schemas.microsoft.com/office/drawing/2014/chart" uri="{C3380CC4-5D6E-409C-BE32-E72D297353CC}">
              <c16:uniqueId val="{00000000-C286-431A-A410-F91EFE02A412}"/>
            </c:ext>
          </c:extLst>
        </c:ser>
        <c:ser>
          <c:idx val="1"/>
          <c:order val="1"/>
          <c:tx>
            <c:strRef>
              <c:f>Sheet3!$D$3</c:f>
              <c:strCache>
                <c:ptCount val="1"/>
                <c:pt idx="0">
                  <c:v>No. of farmers</c:v>
                </c:pt>
              </c:strCache>
            </c:strRef>
          </c:tx>
          <c:dLbls>
            <c:spPr>
              <a:noFill/>
              <a:ln>
                <a:noFill/>
              </a:ln>
              <a:effectLst/>
            </c:spPr>
            <c:txPr>
              <a:bodyPr/>
              <a:lstStyle/>
              <a:p>
                <a:pPr>
                  <a:defRPr lang="en-IN"/>
                </a:pPr>
                <a:endParaRPr lang="en-US"/>
              </a:p>
            </c:txPr>
            <c:showVal val="1"/>
            <c:extLst xmlns:c16r2="http://schemas.microsoft.com/office/drawing/2015/06/chart">
              <c:ext xmlns:c15="http://schemas.microsoft.com/office/drawing/2012/chart" uri="{CE6537A1-D6FC-4f65-9D91-7224C49458BB}">
                <c15:showLeaderLines val="0"/>
              </c:ext>
            </c:extLst>
          </c:dLbls>
          <c:cat>
            <c:strRef>
              <c:f>Sheet3!$B$4:$B$8</c:f>
              <c:strCache>
                <c:ptCount val="5"/>
                <c:pt idx="0">
                  <c:v>2015-16</c:v>
                </c:pt>
                <c:pt idx="1">
                  <c:v>2016-17</c:v>
                </c:pt>
                <c:pt idx="2">
                  <c:v>2017-18</c:v>
                </c:pt>
                <c:pt idx="3">
                  <c:v>2018-19</c:v>
                </c:pt>
                <c:pt idx="4">
                  <c:v>2019-20</c:v>
                </c:pt>
              </c:strCache>
            </c:strRef>
          </c:cat>
          <c:val>
            <c:numRef>
              <c:f>Sheet3!$D$4:$D$8</c:f>
              <c:numCache>
                <c:formatCode>General</c:formatCode>
                <c:ptCount val="5"/>
                <c:pt idx="0">
                  <c:v>320</c:v>
                </c:pt>
                <c:pt idx="1">
                  <c:v>980</c:v>
                </c:pt>
                <c:pt idx="2">
                  <c:v>1200</c:v>
                </c:pt>
                <c:pt idx="3">
                  <c:v>1400</c:v>
                </c:pt>
                <c:pt idx="4">
                  <c:v>1625</c:v>
                </c:pt>
              </c:numCache>
            </c:numRef>
          </c:val>
          <c:extLst xmlns:c16r2="http://schemas.microsoft.com/office/drawing/2015/06/chart">
            <c:ext xmlns:c16="http://schemas.microsoft.com/office/drawing/2014/chart" uri="{C3380CC4-5D6E-409C-BE32-E72D297353CC}">
              <c16:uniqueId val="{00000001-C286-431A-A410-F91EFE02A412}"/>
            </c:ext>
          </c:extLst>
        </c:ser>
        <c:shape val="cone"/>
        <c:axId val="101542912"/>
        <c:axId val="182959488"/>
        <c:axId val="0"/>
      </c:bar3DChart>
      <c:catAx>
        <c:axId val="101542912"/>
        <c:scaling>
          <c:orientation val="minMax"/>
        </c:scaling>
        <c:axPos val="b"/>
        <c:numFmt formatCode="General" sourceLinked="0"/>
        <c:tickLblPos val="nextTo"/>
        <c:txPr>
          <a:bodyPr/>
          <a:lstStyle/>
          <a:p>
            <a:pPr>
              <a:defRPr lang="en-IN"/>
            </a:pPr>
            <a:endParaRPr lang="en-US"/>
          </a:p>
        </c:txPr>
        <c:crossAx val="182959488"/>
        <c:crosses val="autoZero"/>
        <c:auto val="1"/>
        <c:lblAlgn val="ctr"/>
        <c:lblOffset val="100"/>
      </c:catAx>
      <c:valAx>
        <c:axId val="182959488"/>
        <c:scaling>
          <c:orientation val="minMax"/>
        </c:scaling>
        <c:axPos val="l"/>
        <c:numFmt formatCode="General" sourceLinked="1"/>
        <c:tickLblPos val="nextTo"/>
        <c:txPr>
          <a:bodyPr/>
          <a:lstStyle/>
          <a:p>
            <a:pPr>
              <a:defRPr lang="en-IN"/>
            </a:pPr>
            <a:endParaRPr lang="en-US"/>
          </a:p>
        </c:txPr>
        <c:crossAx val="101542912"/>
        <c:crosses val="autoZero"/>
        <c:crossBetween val="between"/>
      </c:valAx>
    </c:plotArea>
    <c:legend>
      <c:legendPos val="r"/>
      <c:layout>
        <c:manualLayout>
          <c:xMode val="edge"/>
          <c:yMode val="edge"/>
          <c:x val="0.1447569991251115"/>
          <c:y val="0.10127554568499469"/>
          <c:w val="0.50802077865266837"/>
          <c:h val="6.4305209712034114E-2"/>
        </c:manualLayout>
      </c:layout>
      <c:txPr>
        <a:bodyPr/>
        <a:lstStyle/>
        <a:p>
          <a:pPr>
            <a:defRPr lang="en-IN"/>
          </a:pPr>
          <a:endParaRPr lang="en-US"/>
        </a:p>
      </c:txPr>
    </c:legend>
    <c:plotVisOnly val="1"/>
    <c:dispBlanksAs val="gap"/>
  </c:chart>
  <c:txPr>
    <a:bodyPr/>
    <a:lstStyle/>
    <a:p>
      <a:pPr>
        <a:defRPr b="1">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2021-10-18T09:05:00Z</dcterms:created>
  <dcterms:modified xsi:type="dcterms:W3CDTF">2021-10-18T09:05:00Z</dcterms:modified>
</cp:coreProperties>
</file>