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20" w:rsidRPr="003811F4" w:rsidRDefault="00057820" w:rsidP="00057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1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Kisan</w:t>
      </w:r>
      <w:proofErr w:type="spellEnd"/>
      <w:r w:rsidRPr="00381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Mobile Advisory Service (KIMAS)</w:t>
      </w:r>
    </w:p>
    <w:p w:rsidR="00057820" w:rsidRDefault="00057820" w:rsidP="000578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7820" w:rsidRPr="00B163C5" w:rsidRDefault="00057820" w:rsidP="00057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KIMAS</w:t>
      </w:r>
      <w:r w:rsidRPr="000D3110">
        <w:rPr>
          <w:rFonts w:ascii="Times New Roman" w:hAnsi="Times New Roman" w:cs="Times New Roman"/>
          <w:sz w:val="24"/>
          <w:szCs w:val="24"/>
        </w:rPr>
        <w:t xml:space="preserve"> is one of the Information and Communication Technology (ICT) tools for dissemination of requisite and need based information at the right time to needy people. KVKs are sending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  <w:r w:rsidRPr="000D3110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/voice calls</w:t>
      </w:r>
      <w:r w:rsidRPr="000D3110">
        <w:rPr>
          <w:rFonts w:ascii="Times New Roman" w:hAnsi="Times New Roman" w:cs="Times New Roman"/>
          <w:sz w:val="24"/>
          <w:szCs w:val="24"/>
        </w:rPr>
        <w:t xml:space="preserve"> to registered farmers advising them on the issues of agricultural importance</w:t>
      </w:r>
      <w:r>
        <w:rPr>
          <w:rFonts w:ascii="Times New Roman" w:hAnsi="Times New Roman" w:cs="Times New Roman"/>
          <w:sz w:val="24"/>
          <w:szCs w:val="24"/>
        </w:rPr>
        <w:t xml:space="preserve"> on real time basis. The details </w:t>
      </w:r>
      <w:r w:rsidRPr="000D3110">
        <w:rPr>
          <w:rFonts w:ascii="Times New Roman" w:hAnsi="Times New Roman" w:cs="Times New Roman"/>
          <w:sz w:val="24"/>
          <w:szCs w:val="24"/>
        </w:rPr>
        <w:t xml:space="preserve">are presented in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D51716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bookmarkStart w:id="0" w:name="_GoBack"/>
      <w:bookmarkEnd w:id="0"/>
      <w:r w:rsidRPr="004E2C3C">
        <w:rPr>
          <w:rFonts w:ascii="Times New Roman" w:hAnsi="Times New Roman" w:cs="Times New Roman"/>
          <w:color w:val="000000" w:themeColor="text1"/>
          <w:sz w:val="24"/>
          <w:szCs w:val="24"/>
        </w:rPr>
        <w:t>. Data shows that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A4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 </w:t>
      </w:r>
      <w:r w:rsidRPr="000D3110">
        <w:rPr>
          <w:rFonts w:ascii="Times New Roman" w:hAnsi="Times New Roman" w:cs="Times New Roman"/>
          <w:sz w:val="24"/>
          <w:szCs w:val="24"/>
        </w:rPr>
        <w:t>KVKs have advised farmers regularly on the areas of crops, livestock, other enterprises, weather, marketing and awareness of latest agricultural technologies through text messages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10">
        <w:rPr>
          <w:rFonts w:ascii="Times New Roman" w:hAnsi="Times New Roman" w:cs="Times New Roman"/>
          <w:sz w:val="24"/>
          <w:szCs w:val="24"/>
        </w:rPr>
        <w:t xml:space="preserve">depending on the expertise available with them. </w:t>
      </w:r>
      <w:r>
        <w:rPr>
          <w:rFonts w:ascii="Times New Roman" w:hAnsi="Times New Roman" w:cs="Times New Roman"/>
          <w:sz w:val="24"/>
          <w:szCs w:val="24"/>
        </w:rPr>
        <w:t>Altogether, 8588</w:t>
      </w:r>
      <w:r w:rsidRPr="000D3110">
        <w:rPr>
          <w:rFonts w:ascii="Times New Roman" w:hAnsi="Times New Roman" w:cs="Times New Roman"/>
          <w:sz w:val="24"/>
          <w:szCs w:val="24"/>
        </w:rPr>
        <w:t xml:space="preserve"> text messages were sent to </w:t>
      </w:r>
      <w:r>
        <w:rPr>
          <w:rFonts w:ascii="Times New Roman" w:hAnsi="Times New Roman" w:cs="Times New Roman"/>
          <w:sz w:val="24"/>
          <w:szCs w:val="24"/>
        </w:rPr>
        <w:t xml:space="preserve">18.13 lakh </w:t>
      </w:r>
      <w:r w:rsidRPr="000D3110">
        <w:rPr>
          <w:rFonts w:ascii="Times New Roman" w:hAnsi="Times New Roman" w:cs="Times New Roman"/>
          <w:sz w:val="24"/>
          <w:szCs w:val="24"/>
        </w:rPr>
        <w:t xml:space="preserve">farmers. Among these </w:t>
      </w:r>
      <w:r>
        <w:rPr>
          <w:rFonts w:ascii="Times New Roman" w:hAnsi="Times New Roman" w:cs="Times New Roman"/>
          <w:sz w:val="24"/>
          <w:szCs w:val="24"/>
        </w:rPr>
        <w:t xml:space="preserve">most messaging was related to </w:t>
      </w:r>
      <w:r w:rsidRPr="000D3110">
        <w:rPr>
          <w:rFonts w:ascii="Times New Roman" w:hAnsi="Times New Roman" w:cs="Times New Roman"/>
          <w:sz w:val="24"/>
          <w:szCs w:val="24"/>
        </w:rPr>
        <w:t>crops (</w:t>
      </w:r>
      <w:r>
        <w:rPr>
          <w:rFonts w:ascii="Times New Roman" w:hAnsi="Times New Roman" w:cs="Times New Roman"/>
          <w:sz w:val="24"/>
          <w:szCs w:val="24"/>
        </w:rPr>
        <w:t>3691</w:t>
      </w:r>
      <w:r w:rsidRPr="000D3110">
        <w:rPr>
          <w:rFonts w:ascii="Times New Roman" w:hAnsi="Times New Roman" w:cs="Times New Roman"/>
          <w:sz w:val="24"/>
          <w:szCs w:val="24"/>
        </w:rPr>
        <w:t>) followed by weather (</w:t>
      </w:r>
      <w:r>
        <w:rPr>
          <w:rFonts w:ascii="Times New Roman" w:hAnsi="Times New Roman" w:cs="Times New Roman"/>
          <w:sz w:val="24"/>
          <w:szCs w:val="24"/>
        </w:rPr>
        <w:t>2440</w:t>
      </w:r>
      <w:r w:rsidRPr="000D311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Pr="000D3110">
        <w:rPr>
          <w:rFonts w:ascii="Times New Roman" w:hAnsi="Times New Roman" w:cs="Times New Roman"/>
          <w:sz w:val="24"/>
          <w:szCs w:val="24"/>
        </w:rPr>
        <w:t>enterprises (</w:t>
      </w:r>
      <w:r>
        <w:rPr>
          <w:rFonts w:ascii="Times New Roman" w:hAnsi="Times New Roman" w:cs="Times New Roman"/>
          <w:sz w:val="24"/>
          <w:szCs w:val="24"/>
        </w:rPr>
        <w:t xml:space="preserve">1051), </w:t>
      </w:r>
      <w:r w:rsidRPr="000D3110">
        <w:rPr>
          <w:rFonts w:ascii="Times New Roman" w:hAnsi="Times New Roman" w:cs="Times New Roman"/>
          <w:sz w:val="24"/>
          <w:szCs w:val="24"/>
        </w:rPr>
        <w:t>livestock (</w:t>
      </w:r>
      <w:r>
        <w:rPr>
          <w:rFonts w:ascii="Times New Roman" w:hAnsi="Times New Roman" w:cs="Times New Roman"/>
          <w:sz w:val="24"/>
          <w:szCs w:val="24"/>
        </w:rPr>
        <w:t>927</w:t>
      </w:r>
      <w:r w:rsidRPr="000D311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10">
        <w:rPr>
          <w:rFonts w:ascii="Times New Roman" w:hAnsi="Times New Roman" w:cs="Times New Roman"/>
          <w:sz w:val="24"/>
          <w:szCs w:val="24"/>
        </w:rPr>
        <w:t>awareness (</w:t>
      </w:r>
      <w:r>
        <w:rPr>
          <w:rFonts w:ascii="Times New Roman" w:hAnsi="Times New Roman" w:cs="Times New Roman"/>
          <w:sz w:val="24"/>
          <w:szCs w:val="24"/>
        </w:rPr>
        <w:t>335</w:t>
      </w:r>
      <w:r w:rsidRPr="000D3110">
        <w:rPr>
          <w:rFonts w:ascii="Times New Roman" w:hAnsi="Times New Roman" w:cs="Times New Roman"/>
          <w:sz w:val="24"/>
          <w:szCs w:val="24"/>
        </w:rPr>
        <w:t>), and marketing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31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7820" w:rsidRDefault="00057820" w:rsidP="00057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820" w:rsidRDefault="00057820" w:rsidP="00057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Pr="001F5B3C">
        <w:rPr>
          <w:rFonts w:ascii="Times New Roman" w:hAnsi="Times New Roman" w:cs="Times New Roman"/>
          <w:b/>
          <w:sz w:val="24"/>
          <w:szCs w:val="24"/>
        </w:rPr>
        <w:t>wise SMS</w:t>
      </w:r>
      <w:r>
        <w:rPr>
          <w:rFonts w:ascii="Times New Roman" w:hAnsi="Times New Roman" w:cs="Times New Roman"/>
          <w:b/>
          <w:sz w:val="24"/>
          <w:szCs w:val="24"/>
        </w:rPr>
        <w:t xml:space="preserve"> text</w:t>
      </w:r>
      <w:r w:rsidRPr="001F5B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1F5B3C">
        <w:rPr>
          <w:rFonts w:ascii="Times New Roman" w:hAnsi="Times New Roman" w:cs="Times New Roman"/>
          <w:b/>
          <w:sz w:val="24"/>
          <w:szCs w:val="24"/>
        </w:rPr>
        <w:t xml:space="preserve">priority areas sent to </w:t>
      </w:r>
      <w:r>
        <w:rPr>
          <w:rFonts w:ascii="Times New Roman" w:hAnsi="Times New Roman" w:cs="Times New Roman"/>
          <w:b/>
          <w:sz w:val="24"/>
          <w:szCs w:val="24"/>
        </w:rPr>
        <w:t xml:space="preserve">farmers by KVKs of Zone-XI </w:t>
      </w:r>
    </w:p>
    <w:p w:rsidR="00057820" w:rsidRPr="001F5B3C" w:rsidRDefault="00057820" w:rsidP="00057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682"/>
        <w:gridCol w:w="974"/>
        <w:gridCol w:w="650"/>
        <w:gridCol w:w="934"/>
        <w:gridCol w:w="866"/>
        <w:gridCol w:w="1012"/>
        <w:gridCol w:w="1021"/>
        <w:gridCol w:w="1041"/>
        <w:gridCol w:w="650"/>
      </w:tblGrid>
      <w:tr w:rsidR="00057820" w:rsidRPr="00C82A8E" w:rsidTr="00E7521D">
        <w:trPr>
          <w:trHeight w:val="5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KVKs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(No.)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armers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(No.)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Advisories (No.)</w:t>
            </w:r>
          </w:p>
        </w:tc>
      </w:tr>
      <w:tr w:rsidR="00057820" w:rsidRPr="00C82A8E" w:rsidTr="00E7521D">
        <w:trPr>
          <w:trHeight w:val="54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7820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Crop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Other enterprise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57820" w:rsidRPr="00C82A8E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057820" w:rsidRPr="00C82A8E" w:rsidTr="00E7521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7820" w:rsidRPr="00391B6A" w:rsidRDefault="00057820" w:rsidP="00E75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91B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Karnataka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820" w:rsidRPr="00C82A8E" w:rsidRDefault="00057820" w:rsidP="00E7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2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1636315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820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1948</w:t>
            </w:r>
          </w:p>
        </w:tc>
      </w:tr>
      <w:tr w:rsidR="00057820" w:rsidRPr="00C82A8E" w:rsidTr="00E752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7820" w:rsidRPr="00391B6A" w:rsidRDefault="00057820" w:rsidP="00E75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91B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Kerala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820" w:rsidRPr="00C82A8E" w:rsidRDefault="00057820" w:rsidP="00E7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820" w:rsidRPr="008E66A6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6130</w:t>
            </w:r>
          </w:p>
        </w:tc>
      </w:tr>
      <w:tr w:rsidR="00057820" w:rsidRPr="005360AB" w:rsidTr="00E752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7820" w:rsidRPr="00391B6A" w:rsidRDefault="00057820" w:rsidP="00E75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91B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Lakshadweep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820" w:rsidRPr="00194F26" w:rsidRDefault="00057820" w:rsidP="00E7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72C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20" w:rsidRPr="008E66A6" w:rsidRDefault="00057820" w:rsidP="00E7521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820" w:rsidRDefault="00057820" w:rsidP="00E7521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510</w:t>
            </w:r>
          </w:p>
        </w:tc>
      </w:tr>
      <w:tr w:rsidR="00057820" w:rsidRPr="00C82A8E" w:rsidTr="00E7521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57820" w:rsidRPr="00391B6A" w:rsidRDefault="00057820" w:rsidP="00E7521D">
            <w:pPr>
              <w:spacing w:after="100" w:afterAutospacing="1"/>
              <w:jc w:val="right"/>
              <w:outlineLvl w:val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fldChar w:fldCharType="begin"/>
            </w:r>
            <w:r>
              <w:rPr>
                <w:rFonts w:ascii="Calibri" w:hAnsi="Calibri" w:cs="Calibri"/>
                <w:b/>
                <w:color w:val="00000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</w:rPr>
              <w:t>1812804</w:t>
            </w:r>
            <w:r>
              <w:rPr>
                <w:rFonts w:ascii="Calibri" w:hAnsi="Calibri" w:cs="Calibri"/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3691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927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2440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144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335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1051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057820" w:rsidRPr="00391B6A" w:rsidRDefault="00057820" w:rsidP="00E7521D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8588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057820" w:rsidRDefault="00057820" w:rsidP="00057820">
      <w:pPr>
        <w:pStyle w:val="Subhead2"/>
        <w:spacing w:after="0"/>
        <w:ind w:left="0" w:firstLine="0"/>
        <w:rPr>
          <w:bCs w:val="0"/>
          <w:color w:val="993366"/>
          <w:sz w:val="24"/>
          <w:szCs w:val="24"/>
        </w:rPr>
      </w:pPr>
    </w:p>
    <w:p w:rsidR="005F6287" w:rsidRDefault="005F6287"/>
    <w:sectPr w:rsidR="005F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5"/>
    <w:rsid w:val="00057820"/>
    <w:rsid w:val="005F6287"/>
    <w:rsid w:val="00B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F1A8"/>
  <w15:chartTrackingRefBased/>
  <w15:docId w15:val="{3C415409-7426-4945-B1A4-12F4B13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2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 2"/>
    <w:basedOn w:val="Normal"/>
    <w:rsid w:val="00057820"/>
    <w:pPr>
      <w:tabs>
        <w:tab w:val="left" w:pos="510"/>
      </w:tabs>
      <w:autoSpaceDE w:val="0"/>
      <w:autoSpaceDN w:val="0"/>
      <w:adjustRightInd w:val="0"/>
      <w:spacing w:after="170" w:line="240" w:lineRule="auto"/>
      <w:ind w:left="510" w:hanging="510"/>
      <w:jc w:val="both"/>
    </w:pPr>
    <w:rPr>
      <w:rFonts w:ascii="Times New Roman" w:eastAsiaTheme="minorHAns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 Hanji</dc:creator>
  <cp:keywords/>
  <dc:description/>
  <cp:lastModifiedBy>Mallikarjun Hanji</cp:lastModifiedBy>
  <cp:revision>2</cp:revision>
  <dcterms:created xsi:type="dcterms:W3CDTF">2021-11-11T06:08:00Z</dcterms:created>
  <dcterms:modified xsi:type="dcterms:W3CDTF">2021-11-11T06:08:00Z</dcterms:modified>
</cp:coreProperties>
</file>